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192F2" w14:textId="1A4BAD59" w:rsidR="009C21CB" w:rsidRPr="00883F89" w:rsidRDefault="005A492C" w:rsidP="009C21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C21CB" w:rsidRPr="00883F89">
        <w:rPr>
          <w:rFonts w:ascii="Times New Roman" w:hAnsi="Times New Roman" w:cs="Times New Roman"/>
          <w:b/>
        </w:rPr>
        <w:t xml:space="preserve">ANNEX 1 : </w:t>
      </w:r>
      <w:r w:rsidR="001B3598" w:rsidRPr="00883F89">
        <w:rPr>
          <w:rFonts w:ascii="Times New Roman" w:hAnsi="Times New Roman" w:cs="Times New Roman"/>
          <w:b/>
        </w:rPr>
        <w:t>LA STRATEGIE DES RESULTATS</w:t>
      </w:r>
    </w:p>
    <w:p w14:paraId="695AE3F6" w14:textId="13B8ECD0" w:rsidR="00207814" w:rsidRPr="00883F89" w:rsidRDefault="001B3598" w:rsidP="009C21CB">
      <w:pPr>
        <w:jc w:val="center"/>
        <w:rPr>
          <w:rFonts w:ascii="Times New Roman" w:hAnsi="Times New Roman" w:cs="Times New Roman"/>
          <w:b/>
        </w:rPr>
      </w:pPr>
      <w:r w:rsidRPr="00883F89">
        <w:rPr>
          <w:rFonts w:ascii="Times New Roman" w:hAnsi="Times New Roman" w:cs="Times New Roman"/>
          <w:b/>
        </w:rPr>
        <w:t>SUIVI DU DOSSIER D’INVESTISSEMENT</w:t>
      </w:r>
      <w:r w:rsidR="002D7954" w:rsidRPr="00883F89">
        <w:rPr>
          <w:rFonts w:ascii="Times New Roman" w:hAnsi="Times New Roman" w:cs="Times New Roman"/>
          <w:b/>
        </w:rPr>
        <w:t xml:space="preserve"> </w:t>
      </w:r>
      <w:r w:rsidRPr="00883F89">
        <w:rPr>
          <w:rFonts w:ascii="Times New Roman" w:hAnsi="Times New Roman" w:cs="Times New Roman"/>
          <w:b/>
        </w:rPr>
        <w:t>A TRAVERS L</w:t>
      </w:r>
      <w:r w:rsidR="002D7954" w:rsidRPr="00883F89">
        <w:rPr>
          <w:rFonts w:ascii="Times New Roman" w:hAnsi="Times New Roman" w:cs="Times New Roman"/>
          <w:b/>
        </w:rPr>
        <w:t>A</w:t>
      </w:r>
      <w:r w:rsidRPr="00883F89">
        <w:rPr>
          <w:rFonts w:ascii="Times New Roman" w:hAnsi="Times New Roman" w:cs="Times New Roman"/>
          <w:b/>
        </w:rPr>
        <w:t xml:space="preserve"> THEORIE DE CHANGEMENT ET LE CADRE DES RESULTATS</w:t>
      </w:r>
    </w:p>
    <w:p w14:paraId="5EE83AF1" w14:textId="737EBFB8" w:rsidR="00CA6CB6" w:rsidRPr="00883F89" w:rsidRDefault="002F55D9" w:rsidP="002D7954">
      <w:pPr>
        <w:jc w:val="both"/>
        <w:rPr>
          <w:rFonts w:ascii="Times New Roman" w:hAnsi="Times New Roman" w:cs="Times New Roman"/>
        </w:rPr>
      </w:pPr>
      <w:r w:rsidRPr="00883F89">
        <w:rPr>
          <w:rFonts w:ascii="Times New Roman" w:hAnsi="Times New Roman" w:cs="Times New Roman"/>
        </w:rPr>
        <w:t>Cette section présente</w:t>
      </w:r>
      <w:r w:rsidR="007510BD" w:rsidRPr="00883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5A9" w:rsidRPr="00883F89">
        <w:rPr>
          <w:rFonts w:ascii="Times New Roman" w:hAnsi="Times New Roman" w:cs="Times New Roman"/>
        </w:rPr>
        <w:t xml:space="preserve">la stratégie des résultats </w:t>
      </w:r>
      <w:r w:rsidR="00AF34D7" w:rsidRPr="00883F89">
        <w:rPr>
          <w:rFonts w:ascii="Times New Roman" w:hAnsi="Times New Roman" w:cs="Times New Roman"/>
        </w:rPr>
        <w:t>qui inclu</w:t>
      </w:r>
      <w:r w:rsidR="00604A1F" w:rsidRPr="000E04E4">
        <w:rPr>
          <w:rFonts w:ascii="Times New Roman" w:hAnsi="Times New Roman" w:cs="Times New Roman"/>
        </w:rPr>
        <w:t>t</w:t>
      </w:r>
      <w:r w:rsidR="00AF34D7" w:rsidRPr="00883F89">
        <w:rPr>
          <w:rFonts w:ascii="Times New Roman" w:hAnsi="Times New Roman" w:cs="Times New Roman"/>
        </w:rPr>
        <w:t xml:space="preserve"> : </w:t>
      </w:r>
      <w:r w:rsidR="001B3598" w:rsidRPr="00883F89">
        <w:rPr>
          <w:rFonts w:ascii="Times New Roman" w:hAnsi="Times New Roman" w:cs="Times New Roman"/>
        </w:rPr>
        <w:t>(i) L</w:t>
      </w:r>
      <w:r w:rsidR="002C2089" w:rsidRPr="00883F89">
        <w:rPr>
          <w:rFonts w:ascii="Times New Roman" w:hAnsi="Times New Roman" w:cs="Times New Roman"/>
        </w:rPr>
        <w:t>a</w:t>
      </w:r>
      <w:r w:rsidR="001B3598" w:rsidRPr="00883F89">
        <w:rPr>
          <w:rFonts w:ascii="Times New Roman" w:hAnsi="Times New Roman" w:cs="Times New Roman"/>
        </w:rPr>
        <w:t xml:space="preserve"> théorie de changement ; </w:t>
      </w:r>
      <w:r w:rsidR="00AF34D7" w:rsidRPr="00883F89">
        <w:rPr>
          <w:rFonts w:ascii="Times New Roman" w:hAnsi="Times New Roman" w:cs="Times New Roman"/>
        </w:rPr>
        <w:t>(</w:t>
      </w:r>
      <w:r w:rsidR="001B3598" w:rsidRPr="00883F89">
        <w:rPr>
          <w:rFonts w:ascii="Times New Roman" w:hAnsi="Times New Roman" w:cs="Times New Roman"/>
        </w:rPr>
        <w:t>i</w:t>
      </w:r>
      <w:r w:rsidR="00AF34D7" w:rsidRPr="00883F89">
        <w:rPr>
          <w:rFonts w:ascii="Times New Roman" w:hAnsi="Times New Roman" w:cs="Times New Roman"/>
        </w:rPr>
        <w:t>i) le cadre des résultats a</w:t>
      </w:r>
      <w:r w:rsidR="00AF34D7" w:rsidRPr="00AB7CCE">
        <w:rPr>
          <w:rFonts w:ascii="Times New Roman" w:hAnsi="Times New Roman" w:cs="Times New Roman"/>
        </w:rPr>
        <w:t>ccompagné des informations plus détaillées sur les indicateurs et les cibles qui seront utilisé</w:t>
      </w:r>
      <w:r w:rsidR="004460AA" w:rsidRPr="00AB7CCE">
        <w:rPr>
          <w:rFonts w:ascii="Times New Roman" w:hAnsi="Times New Roman" w:cs="Times New Roman"/>
        </w:rPr>
        <w:t>e</w:t>
      </w:r>
      <w:r w:rsidR="00AF34D7" w:rsidRPr="00AB7CCE">
        <w:rPr>
          <w:rFonts w:ascii="Times New Roman" w:hAnsi="Times New Roman" w:cs="Times New Roman"/>
        </w:rPr>
        <w:t xml:space="preserve">s pour le suivi du Dossier </w:t>
      </w:r>
      <w:r w:rsidR="000F0D15" w:rsidRPr="00883F89">
        <w:rPr>
          <w:rFonts w:ascii="Times New Roman" w:hAnsi="Times New Roman" w:cs="Times New Roman"/>
        </w:rPr>
        <w:t>d’Investissement ;</w:t>
      </w:r>
      <w:r w:rsidR="009C0A0A" w:rsidRPr="00883F89">
        <w:rPr>
          <w:rFonts w:ascii="Times New Roman" w:hAnsi="Times New Roman" w:cs="Times New Roman"/>
        </w:rPr>
        <w:t xml:space="preserve"> (i</w:t>
      </w:r>
      <w:r w:rsidR="006B256A" w:rsidRPr="00883F89">
        <w:rPr>
          <w:rFonts w:ascii="Times New Roman" w:hAnsi="Times New Roman" w:cs="Times New Roman"/>
        </w:rPr>
        <w:t>ii</w:t>
      </w:r>
      <w:r w:rsidR="009C0A0A" w:rsidRPr="00883F89">
        <w:rPr>
          <w:rFonts w:ascii="Times New Roman" w:hAnsi="Times New Roman" w:cs="Times New Roman"/>
        </w:rPr>
        <w:t>) L</w:t>
      </w:r>
      <w:r w:rsidR="00AF34D7" w:rsidRPr="00883F89">
        <w:rPr>
          <w:rFonts w:ascii="Times New Roman" w:hAnsi="Times New Roman" w:cs="Times New Roman"/>
        </w:rPr>
        <w:t xml:space="preserve">’organisation institutionnel pour le suivi </w:t>
      </w:r>
      <w:r w:rsidR="009C0A0A" w:rsidRPr="00883F89">
        <w:rPr>
          <w:rFonts w:ascii="Times New Roman" w:hAnsi="Times New Roman" w:cs="Times New Roman"/>
        </w:rPr>
        <w:t>du Dossier d’Investissement</w:t>
      </w:r>
      <w:r w:rsidR="001B3598" w:rsidRPr="00883F89">
        <w:rPr>
          <w:rFonts w:ascii="Times New Roman" w:hAnsi="Times New Roman" w:cs="Times New Roman"/>
        </w:rPr>
        <w:t xml:space="preserve"> ; </w:t>
      </w:r>
      <w:r w:rsidR="004577CA" w:rsidRPr="00883F89">
        <w:rPr>
          <w:rFonts w:ascii="Times New Roman" w:hAnsi="Times New Roman" w:cs="Times New Roman"/>
        </w:rPr>
        <w:t>ainsi que</w:t>
      </w:r>
      <w:r w:rsidR="001B3598" w:rsidRPr="00883F89">
        <w:rPr>
          <w:rFonts w:ascii="Times New Roman" w:hAnsi="Times New Roman" w:cs="Times New Roman"/>
        </w:rPr>
        <w:t xml:space="preserve"> (iv) la stratégie d’utilisation des données.</w:t>
      </w:r>
    </w:p>
    <w:p w14:paraId="7FF811E1" w14:textId="608DF48C" w:rsidR="002449CA" w:rsidRPr="000E04E4" w:rsidRDefault="0039115F">
      <w:pPr>
        <w:rPr>
          <w:rFonts w:ascii="Times New Roman" w:hAnsi="Times New Roman" w:cs="Times New Roman"/>
        </w:rPr>
      </w:pPr>
      <w:r w:rsidRPr="00883F89">
        <w:rPr>
          <w:rFonts w:ascii="Times New Roman" w:hAnsi="Times New Roman" w:cs="Times New Roman"/>
        </w:rPr>
        <w:t>Principes importants qui ont guid</w:t>
      </w:r>
      <w:r w:rsidR="00B207FB" w:rsidRPr="000E04E4">
        <w:rPr>
          <w:rFonts w:ascii="Times New Roman" w:hAnsi="Times New Roman" w:cs="Times New Roman"/>
        </w:rPr>
        <w:t>é</w:t>
      </w:r>
      <w:r w:rsidRPr="000E04E4">
        <w:rPr>
          <w:rFonts w:ascii="Times New Roman" w:hAnsi="Times New Roman" w:cs="Times New Roman"/>
        </w:rPr>
        <w:t xml:space="preserve"> </w:t>
      </w:r>
      <w:r w:rsidR="004E7B01" w:rsidRPr="000E04E4">
        <w:rPr>
          <w:rFonts w:ascii="Times New Roman" w:hAnsi="Times New Roman" w:cs="Times New Roman"/>
        </w:rPr>
        <w:t>le développement collaboratif</w:t>
      </w:r>
      <w:r w:rsidR="00561AFC" w:rsidRPr="000E04E4">
        <w:rPr>
          <w:rFonts w:ascii="Times New Roman" w:hAnsi="Times New Roman" w:cs="Times New Roman"/>
        </w:rPr>
        <w:t xml:space="preserve"> de la </w:t>
      </w:r>
      <w:r w:rsidR="00027C0F" w:rsidRPr="000E04E4">
        <w:rPr>
          <w:rFonts w:ascii="Times New Roman" w:hAnsi="Times New Roman" w:cs="Times New Roman"/>
        </w:rPr>
        <w:t>théorie</w:t>
      </w:r>
      <w:r w:rsidR="00561AFC" w:rsidRPr="000E04E4">
        <w:rPr>
          <w:rFonts w:ascii="Times New Roman" w:hAnsi="Times New Roman" w:cs="Times New Roman"/>
        </w:rPr>
        <w:t xml:space="preserve"> de changement et </w:t>
      </w:r>
      <w:r w:rsidR="008868AA" w:rsidRPr="000E04E4">
        <w:rPr>
          <w:rFonts w:ascii="Times New Roman" w:hAnsi="Times New Roman" w:cs="Times New Roman"/>
        </w:rPr>
        <w:t>du</w:t>
      </w:r>
      <w:r w:rsidR="00561AFC" w:rsidRPr="000E04E4">
        <w:rPr>
          <w:rFonts w:ascii="Times New Roman" w:hAnsi="Times New Roman" w:cs="Times New Roman"/>
        </w:rPr>
        <w:t xml:space="preserve"> cadre des </w:t>
      </w:r>
      <w:r w:rsidR="00027C0F" w:rsidRPr="000E04E4">
        <w:rPr>
          <w:rFonts w:ascii="Times New Roman" w:hAnsi="Times New Roman" w:cs="Times New Roman"/>
        </w:rPr>
        <w:t>résultats</w:t>
      </w:r>
      <w:r w:rsidR="00561AFC" w:rsidRPr="000E04E4">
        <w:rPr>
          <w:rFonts w:ascii="Times New Roman" w:hAnsi="Times New Roman" w:cs="Times New Roman"/>
        </w:rPr>
        <w:t> :</w:t>
      </w:r>
    </w:p>
    <w:p w14:paraId="169A4E39" w14:textId="40EB7EB1" w:rsidR="00561AFC" w:rsidRPr="00883F89" w:rsidRDefault="009927B8" w:rsidP="002D7954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83F89">
        <w:rPr>
          <w:rFonts w:ascii="Times New Roman" w:hAnsi="Times New Roman" w:cs="Times New Roman"/>
        </w:rPr>
        <w:t>L</w:t>
      </w:r>
      <w:r w:rsidR="00307569" w:rsidRPr="00883F89">
        <w:rPr>
          <w:rFonts w:ascii="Times New Roman" w:hAnsi="Times New Roman" w:cs="Times New Roman"/>
        </w:rPr>
        <w:t>a</w:t>
      </w:r>
      <w:r w:rsidRPr="00883F89">
        <w:rPr>
          <w:rFonts w:ascii="Times New Roman" w:hAnsi="Times New Roman" w:cs="Times New Roman"/>
        </w:rPr>
        <w:t xml:space="preserve"> théorie de changement devrai</w:t>
      </w:r>
      <w:r w:rsidR="00476D76" w:rsidRPr="00883F89">
        <w:rPr>
          <w:rFonts w:ascii="Times New Roman" w:hAnsi="Times New Roman" w:cs="Times New Roman"/>
        </w:rPr>
        <w:t>t</w:t>
      </w:r>
      <w:r w:rsidRPr="00883F89">
        <w:rPr>
          <w:rFonts w:ascii="Times New Roman" w:hAnsi="Times New Roman" w:cs="Times New Roman"/>
        </w:rPr>
        <w:t xml:space="preserve"> </w:t>
      </w:r>
      <w:r w:rsidR="00027C0F" w:rsidRPr="00883F89">
        <w:rPr>
          <w:rFonts w:ascii="Times New Roman" w:hAnsi="Times New Roman" w:cs="Times New Roman"/>
        </w:rPr>
        <w:t>être</w:t>
      </w:r>
      <w:r w:rsidRPr="00883F89">
        <w:rPr>
          <w:rFonts w:ascii="Times New Roman" w:hAnsi="Times New Roman" w:cs="Times New Roman"/>
        </w:rPr>
        <w:t xml:space="preserve"> composée de résultats clairs et mesurables définis le long </w:t>
      </w:r>
      <w:r w:rsidR="00E4136E" w:rsidRPr="00883F89">
        <w:rPr>
          <w:rFonts w:ascii="Times New Roman" w:hAnsi="Times New Roman" w:cs="Times New Roman"/>
        </w:rPr>
        <w:t>de la voie causale</w:t>
      </w:r>
      <w:r w:rsidRPr="00883F89">
        <w:rPr>
          <w:rFonts w:ascii="Times New Roman" w:hAnsi="Times New Roman" w:cs="Times New Roman"/>
        </w:rPr>
        <w:t xml:space="preserve"> (</w:t>
      </w:r>
      <w:r w:rsidR="003872E9" w:rsidRPr="00883F89">
        <w:rPr>
          <w:rFonts w:ascii="Times New Roman" w:hAnsi="Times New Roman" w:cs="Times New Roman"/>
        </w:rPr>
        <w:t>extrant</w:t>
      </w:r>
      <w:r w:rsidRPr="00883F89">
        <w:rPr>
          <w:rFonts w:ascii="Times New Roman" w:hAnsi="Times New Roman" w:cs="Times New Roman"/>
        </w:rPr>
        <w:t xml:space="preserve">, résultat, impact) et alignés </w:t>
      </w:r>
      <w:r w:rsidR="00604A1F" w:rsidRPr="00883F89">
        <w:rPr>
          <w:rFonts w:ascii="Times New Roman" w:hAnsi="Times New Roman" w:cs="Times New Roman"/>
        </w:rPr>
        <w:t xml:space="preserve">par rapport </w:t>
      </w:r>
      <w:r w:rsidR="00E4136E" w:rsidRPr="00883F89">
        <w:rPr>
          <w:rFonts w:ascii="Times New Roman" w:hAnsi="Times New Roman" w:cs="Times New Roman"/>
        </w:rPr>
        <w:t>aux</w:t>
      </w:r>
      <w:r w:rsidRPr="00883F89">
        <w:rPr>
          <w:rFonts w:ascii="Times New Roman" w:hAnsi="Times New Roman" w:cs="Times New Roman"/>
        </w:rPr>
        <w:t xml:space="preserve"> activités financées.</w:t>
      </w:r>
    </w:p>
    <w:p w14:paraId="10D66873" w14:textId="455C1FDD" w:rsidR="00F57FB6" w:rsidRPr="00883F89" w:rsidRDefault="00F57FB6" w:rsidP="002D7954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83F89">
        <w:rPr>
          <w:rFonts w:ascii="Times New Roman" w:hAnsi="Times New Roman" w:cs="Times New Roman"/>
        </w:rPr>
        <w:t>Le cadre de</w:t>
      </w:r>
      <w:r w:rsidR="002D7954" w:rsidRPr="00883F89">
        <w:rPr>
          <w:rFonts w:ascii="Times New Roman" w:hAnsi="Times New Roman" w:cs="Times New Roman"/>
        </w:rPr>
        <w:t>s</w:t>
      </w:r>
      <w:r w:rsidRPr="00883F89">
        <w:rPr>
          <w:rFonts w:ascii="Times New Roman" w:hAnsi="Times New Roman" w:cs="Times New Roman"/>
        </w:rPr>
        <w:t xml:space="preserve"> résultats devrait couvrir la totalité de la théorie du changement, avec </w:t>
      </w:r>
      <w:r w:rsidR="00561802" w:rsidRPr="00883F89">
        <w:rPr>
          <w:rFonts w:ascii="Times New Roman" w:hAnsi="Times New Roman" w:cs="Times New Roman"/>
        </w:rPr>
        <w:t xml:space="preserve">non seulement </w:t>
      </w:r>
      <w:r w:rsidRPr="00883F89">
        <w:rPr>
          <w:rFonts w:ascii="Times New Roman" w:hAnsi="Times New Roman" w:cs="Times New Roman"/>
        </w:rPr>
        <w:t>des indicateurs</w:t>
      </w:r>
      <w:r w:rsidR="00561802" w:rsidRPr="00883F89">
        <w:rPr>
          <w:rFonts w:ascii="Times New Roman" w:hAnsi="Times New Roman" w:cs="Times New Roman"/>
        </w:rPr>
        <w:t xml:space="preserve"> programmatiques</w:t>
      </w:r>
      <w:r w:rsidRPr="00883F89">
        <w:rPr>
          <w:rFonts w:ascii="Times New Roman" w:hAnsi="Times New Roman" w:cs="Times New Roman"/>
        </w:rPr>
        <w:t xml:space="preserve"> couvrant l'offre, la demande</w:t>
      </w:r>
      <w:r w:rsidR="00EE7CF3" w:rsidRPr="00883F89">
        <w:rPr>
          <w:rFonts w:ascii="Times New Roman" w:hAnsi="Times New Roman" w:cs="Times New Roman"/>
        </w:rPr>
        <w:t xml:space="preserve">, </w:t>
      </w:r>
      <w:r w:rsidRPr="00883F89">
        <w:rPr>
          <w:rFonts w:ascii="Times New Roman" w:hAnsi="Times New Roman" w:cs="Times New Roman"/>
        </w:rPr>
        <w:t xml:space="preserve">l'utilisation des services SRMNIA-N, </w:t>
      </w:r>
      <w:r w:rsidR="00EE7CF3" w:rsidRPr="00883F89">
        <w:rPr>
          <w:rFonts w:ascii="Times New Roman" w:hAnsi="Times New Roman" w:cs="Times New Roman"/>
        </w:rPr>
        <w:t xml:space="preserve">et le renforcement du système de santé, </w:t>
      </w:r>
      <w:r w:rsidRPr="00883F89">
        <w:rPr>
          <w:rFonts w:ascii="Times New Roman" w:hAnsi="Times New Roman" w:cs="Times New Roman"/>
        </w:rPr>
        <w:t xml:space="preserve">mais aussi </w:t>
      </w:r>
      <w:r w:rsidR="00A019D5" w:rsidRPr="00883F89">
        <w:rPr>
          <w:rFonts w:ascii="Times New Roman" w:hAnsi="Times New Roman" w:cs="Times New Roman"/>
        </w:rPr>
        <w:t>d</w:t>
      </w:r>
      <w:r w:rsidRPr="00883F89">
        <w:rPr>
          <w:rFonts w:ascii="Times New Roman" w:hAnsi="Times New Roman" w:cs="Times New Roman"/>
        </w:rPr>
        <w:t>es</w:t>
      </w:r>
      <w:r w:rsidR="00561802" w:rsidRPr="00883F89">
        <w:rPr>
          <w:rFonts w:ascii="Times New Roman" w:hAnsi="Times New Roman" w:cs="Times New Roman"/>
        </w:rPr>
        <w:t xml:space="preserve"> indicateurs </w:t>
      </w:r>
      <w:r w:rsidR="00A019D5" w:rsidRPr="00883F89">
        <w:rPr>
          <w:rFonts w:ascii="Times New Roman" w:hAnsi="Times New Roman" w:cs="Times New Roman"/>
        </w:rPr>
        <w:t>associés</w:t>
      </w:r>
      <w:r w:rsidR="00561802" w:rsidRPr="00883F89">
        <w:rPr>
          <w:rFonts w:ascii="Times New Roman" w:hAnsi="Times New Roman" w:cs="Times New Roman"/>
        </w:rPr>
        <w:t xml:space="preserve"> aux</w:t>
      </w:r>
      <w:r w:rsidRPr="00883F89">
        <w:rPr>
          <w:rFonts w:ascii="Times New Roman" w:hAnsi="Times New Roman" w:cs="Times New Roman"/>
        </w:rPr>
        <w:t xml:space="preserve"> </w:t>
      </w:r>
      <w:r w:rsidR="00A019D5" w:rsidRPr="00883F89">
        <w:rPr>
          <w:rFonts w:ascii="Times New Roman" w:hAnsi="Times New Roman" w:cs="Times New Roman"/>
        </w:rPr>
        <w:t>réformes</w:t>
      </w:r>
      <w:r w:rsidR="005D7DF6" w:rsidRPr="00883F89">
        <w:rPr>
          <w:rFonts w:ascii="Times New Roman" w:hAnsi="Times New Roman" w:cs="Times New Roman"/>
        </w:rPr>
        <w:t xml:space="preserve"> de</w:t>
      </w:r>
      <w:r w:rsidRPr="00883F89">
        <w:rPr>
          <w:rFonts w:ascii="Times New Roman" w:hAnsi="Times New Roman" w:cs="Times New Roman"/>
        </w:rPr>
        <w:t xml:space="preserve"> financement de la santé.</w:t>
      </w:r>
    </w:p>
    <w:p w14:paraId="74E445F4" w14:textId="75CC65A6" w:rsidR="00D21405" w:rsidRPr="00883F89" w:rsidRDefault="008A3EE4" w:rsidP="002D403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83F89">
        <w:rPr>
          <w:rFonts w:ascii="Times New Roman" w:hAnsi="Times New Roman" w:cs="Times New Roman"/>
        </w:rPr>
        <w:t>Le cadre de résultats ne doit pas être un exercice théorique et doit uniquement inclure les indicateurs disponibles à travers les systèmes de données nationaux</w:t>
      </w:r>
      <w:r w:rsidR="009A41C7" w:rsidRPr="00883F89">
        <w:rPr>
          <w:rFonts w:ascii="Times New Roman" w:hAnsi="Times New Roman" w:cs="Times New Roman"/>
        </w:rPr>
        <w:t>.</w:t>
      </w:r>
      <w:r w:rsidR="00E2151F" w:rsidRPr="00883F89">
        <w:rPr>
          <w:rFonts w:ascii="Times New Roman" w:hAnsi="Times New Roman" w:cs="Times New Roman"/>
        </w:rPr>
        <w:t xml:space="preserve"> </w:t>
      </w:r>
      <w:r w:rsidR="00D52641" w:rsidRPr="00883F89">
        <w:rPr>
          <w:rFonts w:ascii="Times New Roman" w:hAnsi="Times New Roman" w:cs="Times New Roman"/>
        </w:rPr>
        <w:t xml:space="preserve">Avoir des </w:t>
      </w:r>
      <w:r w:rsidR="0008483D" w:rsidRPr="00883F89">
        <w:rPr>
          <w:rFonts w:ascii="Times New Roman" w:hAnsi="Times New Roman" w:cs="Times New Roman"/>
        </w:rPr>
        <w:t>données</w:t>
      </w:r>
      <w:r w:rsidR="00D52641" w:rsidRPr="00883F89">
        <w:rPr>
          <w:rFonts w:ascii="Times New Roman" w:hAnsi="Times New Roman" w:cs="Times New Roman"/>
        </w:rPr>
        <w:t xml:space="preserve"> de routine de </w:t>
      </w:r>
      <w:r w:rsidR="0008483D" w:rsidRPr="00883F89">
        <w:rPr>
          <w:rFonts w:ascii="Times New Roman" w:hAnsi="Times New Roman" w:cs="Times New Roman"/>
        </w:rPr>
        <w:t>qualité</w:t>
      </w:r>
      <w:r w:rsidR="00D52641" w:rsidRPr="00883F89">
        <w:rPr>
          <w:rFonts w:ascii="Times New Roman" w:hAnsi="Times New Roman" w:cs="Times New Roman"/>
        </w:rPr>
        <w:t xml:space="preserve"> </w:t>
      </w:r>
      <w:r w:rsidR="00422A2E" w:rsidRPr="00883F89">
        <w:rPr>
          <w:rFonts w:ascii="Times New Roman" w:hAnsi="Times New Roman" w:cs="Times New Roman"/>
        </w:rPr>
        <w:t xml:space="preserve">peut aussi </w:t>
      </w:r>
      <w:r w:rsidR="0008483D" w:rsidRPr="00883F89">
        <w:rPr>
          <w:rFonts w:ascii="Times New Roman" w:hAnsi="Times New Roman" w:cs="Times New Roman"/>
        </w:rPr>
        <w:t>nécessite</w:t>
      </w:r>
      <w:r w:rsidR="00422A2E" w:rsidRPr="00883F89">
        <w:rPr>
          <w:rFonts w:ascii="Times New Roman" w:hAnsi="Times New Roman" w:cs="Times New Roman"/>
        </w:rPr>
        <w:t>r</w:t>
      </w:r>
      <w:r w:rsidR="00D52641" w:rsidRPr="00883F89">
        <w:rPr>
          <w:rFonts w:ascii="Times New Roman" w:hAnsi="Times New Roman" w:cs="Times New Roman"/>
        </w:rPr>
        <w:t xml:space="preserve"> </w:t>
      </w:r>
      <w:r w:rsidR="004270B2" w:rsidRPr="00883F89">
        <w:rPr>
          <w:rFonts w:ascii="Times New Roman" w:hAnsi="Times New Roman" w:cs="Times New Roman"/>
        </w:rPr>
        <w:t>des investissements additionnels</w:t>
      </w:r>
      <w:r w:rsidR="0008483D" w:rsidRPr="00883F89">
        <w:rPr>
          <w:rFonts w:ascii="Times New Roman" w:hAnsi="Times New Roman" w:cs="Times New Roman"/>
        </w:rPr>
        <w:t xml:space="preserve"> pour le </w:t>
      </w:r>
      <w:r w:rsidR="00D21405" w:rsidRPr="00883F89">
        <w:rPr>
          <w:rFonts w:ascii="Times New Roman" w:hAnsi="Times New Roman" w:cs="Times New Roman"/>
        </w:rPr>
        <w:t>renforcement des systèmes d'information</w:t>
      </w:r>
      <w:r w:rsidR="00F44245" w:rsidRPr="00883F89">
        <w:rPr>
          <w:rFonts w:ascii="Times New Roman" w:hAnsi="Times New Roman" w:cs="Times New Roman"/>
        </w:rPr>
        <w:t xml:space="preserve">, expliquant la </w:t>
      </w:r>
      <w:r w:rsidR="008762AB" w:rsidRPr="00883F89">
        <w:rPr>
          <w:rFonts w:ascii="Times New Roman" w:hAnsi="Times New Roman" w:cs="Times New Roman"/>
        </w:rPr>
        <w:t>nécessité</w:t>
      </w:r>
      <w:r w:rsidR="00F44245" w:rsidRPr="00883F89">
        <w:rPr>
          <w:rFonts w:ascii="Times New Roman" w:hAnsi="Times New Roman" w:cs="Times New Roman"/>
        </w:rPr>
        <w:t xml:space="preserve"> </w:t>
      </w:r>
      <w:r w:rsidR="00C95AB0" w:rsidRPr="00883F89">
        <w:rPr>
          <w:rFonts w:ascii="Times New Roman" w:hAnsi="Times New Roman" w:cs="Times New Roman"/>
        </w:rPr>
        <w:t>d’</w:t>
      </w:r>
      <w:r w:rsidR="008762AB" w:rsidRPr="00883F89">
        <w:rPr>
          <w:rFonts w:ascii="Times New Roman" w:hAnsi="Times New Roman" w:cs="Times New Roman"/>
        </w:rPr>
        <w:t>élaborer</w:t>
      </w:r>
      <w:r w:rsidR="00C95AB0" w:rsidRPr="00883F89">
        <w:rPr>
          <w:rFonts w:ascii="Times New Roman" w:hAnsi="Times New Roman" w:cs="Times New Roman"/>
        </w:rPr>
        <w:t xml:space="preserve"> un plan d’investissement </w:t>
      </w:r>
      <w:r w:rsidR="008762AB" w:rsidRPr="00883F89">
        <w:rPr>
          <w:rFonts w:ascii="Times New Roman" w:hAnsi="Times New Roman" w:cs="Times New Roman"/>
        </w:rPr>
        <w:t>pour l’information stratégique, si nécessaire.</w:t>
      </w:r>
    </w:p>
    <w:p w14:paraId="0C71C891" w14:textId="103ED058" w:rsidR="00F57FB6" w:rsidRPr="00883F89" w:rsidRDefault="00F57FB6" w:rsidP="002D7954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83F89">
        <w:rPr>
          <w:rFonts w:ascii="Times New Roman" w:hAnsi="Times New Roman" w:cs="Times New Roman"/>
        </w:rPr>
        <w:t xml:space="preserve">Le cadre de résultats devrait être aligné sur </w:t>
      </w:r>
      <w:r w:rsidR="00C96225" w:rsidRPr="00883F89">
        <w:rPr>
          <w:rFonts w:ascii="Times New Roman" w:hAnsi="Times New Roman" w:cs="Times New Roman"/>
        </w:rPr>
        <w:t xml:space="preserve">les autres cadres de </w:t>
      </w:r>
      <w:r w:rsidR="00C37735" w:rsidRPr="00883F89">
        <w:rPr>
          <w:rFonts w:ascii="Times New Roman" w:hAnsi="Times New Roman" w:cs="Times New Roman"/>
        </w:rPr>
        <w:t>résultats</w:t>
      </w:r>
      <w:r w:rsidR="00C96225" w:rsidRPr="00883F89">
        <w:rPr>
          <w:rFonts w:ascii="Times New Roman" w:hAnsi="Times New Roman" w:cs="Times New Roman"/>
        </w:rPr>
        <w:t xml:space="preserve"> </w:t>
      </w:r>
      <w:r w:rsidR="00C37735" w:rsidRPr="00883F89">
        <w:rPr>
          <w:rFonts w:ascii="Times New Roman" w:hAnsi="Times New Roman" w:cs="Times New Roman"/>
        </w:rPr>
        <w:t>existants</w:t>
      </w:r>
      <w:r w:rsidR="004B22D0" w:rsidRPr="00883F89">
        <w:rPr>
          <w:rFonts w:ascii="Times New Roman" w:hAnsi="Times New Roman" w:cs="Times New Roman"/>
        </w:rPr>
        <w:t>, tel que</w:t>
      </w:r>
      <w:r w:rsidR="003E02A2" w:rsidRPr="00883F89">
        <w:rPr>
          <w:rFonts w:ascii="Times New Roman" w:hAnsi="Times New Roman" w:cs="Times New Roman"/>
        </w:rPr>
        <w:t> </w:t>
      </w:r>
      <w:r w:rsidRPr="00883F89">
        <w:rPr>
          <w:rFonts w:ascii="Times New Roman" w:hAnsi="Times New Roman" w:cs="Times New Roman"/>
        </w:rPr>
        <w:t xml:space="preserve">le cadre de suivi-évaluation </w:t>
      </w:r>
      <w:r w:rsidR="002C4899" w:rsidRPr="00883F89">
        <w:rPr>
          <w:rFonts w:ascii="Times New Roman" w:hAnsi="Times New Roman" w:cs="Times New Roman"/>
        </w:rPr>
        <w:t xml:space="preserve">(i) </w:t>
      </w:r>
      <w:r w:rsidRPr="00883F89">
        <w:rPr>
          <w:rFonts w:ascii="Times New Roman" w:hAnsi="Times New Roman" w:cs="Times New Roman"/>
        </w:rPr>
        <w:t>du P</w:t>
      </w:r>
      <w:r w:rsidR="004270B2" w:rsidRPr="00883F89">
        <w:rPr>
          <w:rFonts w:ascii="Times New Roman" w:hAnsi="Times New Roman" w:cs="Times New Roman"/>
        </w:rPr>
        <w:t>ND</w:t>
      </w:r>
      <w:r w:rsidRPr="00883F89">
        <w:rPr>
          <w:rFonts w:ascii="Times New Roman" w:hAnsi="Times New Roman" w:cs="Times New Roman"/>
        </w:rPr>
        <w:t xml:space="preserve">S, </w:t>
      </w:r>
      <w:r w:rsidR="003E02A2" w:rsidRPr="00883F89">
        <w:rPr>
          <w:rFonts w:ascii="Times New Roman" w:hAnsi="Times New Roman" w:cs="Times New Roman"/>
        </w:rPr>
        <w:t xml:space="preserve">(ii) </w:t>
      </w:r>
      <w:r w:rsidR="004B22D0" w:rsidRPr="00883F89">
        <w:rPr>
          <w:rFonts w:ascii="Times New Roman" w:hAnsi="Times New Roman" w:cs="Times New Roman"/>
        </w:rPr>
        <w:t>du projet de la Banque Mondiale co-financ</w:t>
      </w:r>
      <w:r w:rsidR="00BC45C7" w:rsidRPr="00883F89">
        <w:rPr>
          <w:rFonts w:ascii="Times New Roman" w:hAnsi="Times New Roman" w:cs="Times New Roman"/>
        </w:rPr>
        <w:t>é</w:t>
      </w:r>
      <w:r w:rsidR="004B22D0" w:rsidRPr="00883F89">
        <w:rPr>
          <w:rFonts w:ascii="Times New Roman" w:hAnsi="Times New Roman" w:cs="Times New Roman"/>
        </w:rPr>
        <w:t xml:space="preserve"> par le GFF</w:t>
      </w:r>
      <w:r w:rsidR="00F30359" w:rsidRPr="00883F89">
        <w:rPr>
          <w:rFonts w:ascii="Times New Roman" w:hAnsi="Times New Roman" w:cs="Times New Roman"/>
        </w:rPr>
        <w:t xml:space="preserve">, </w:t>
      </w:r>
      <w:r w:rsidR="003E02A2" w:rsidRPr="00883F89">
        <w:rPr>
          <w:rFonts w:ascii="Times New Roman" w:hAnsi="Times New Roman" w:cs="Times New Roman"/>
        </w:rPr>
        <w:t xml:space="preserve">(iii) </w:t>
      </w:r>
      <w:r w:rsidRPr="00883F89">
        <w:rPr>
          <w:rFonts w:ascii="Times New Roman" w:hAnsi="Times New Roman" w:cs="Times New Roman"/>
        </w:rPr>
        <w:t xml:space="preserve">des autres plans programmatiques </w:t>
      </w:r>
      <w:r w:rsidR="004270B2" w:rsidRPr="00883F89">
        <w:rPr>
          <w:rFonts w:ascii="Times New Roman" w:hAnsi="Times New Roman" w:cs="Times New Roman"/>
        </w:rPr>
        <w:t xml:space="preserve">du pays, </w:t>
      </w:r>
      <w:r w:rsidR="005B376F" w:rsidRPr="00883F89">
        <w:rPr>
          <w:rFonts w:ascii="Times New Roman" w:hAnsi="Times New Roman" w:cs="Times New Roman"/>
        </w:rPr>
        <w:t xml:space="preserve">(iv) </w:t>
      </w:r>
      <w:r w:rsidR="00F30359" w:rsidRPr="00883F89">
        <w:rPr>
          <w:rFonts w:ascii="Times New Roman" w:hAnsi="Times New Roman" w:cs="Times New Roman"/>
        </w:rPr>
        <w:t>des parten</w:t>
      </w:r>
      <w:r w:rsidR="005B376F" w:rsidRPr="00883F89">
        <w:rPr>
          <w:rFonts w:ascii="Times New Roman" w:hAnsi="Times New Roman" w:cs="Times New Roman"/>
        </w:rPr>
        <w:t>aires techniques et financiers, e</w:t>
      </w:r>
      <w:r w:rsidRPr="00883F89">
        <w:rPr>
          <w:rFonts w:ascii="Times New Roman" w:hAnsi="Times New Roman" w:cs="Times New Roman"/>
        </w:rPr>
        <w:t xml:space="preserve">t </w:t>
      </w:r>
      <w:r w:rsidR="005B376F" w:rsidRPr="00883F89">
        <w:rPr>
          <w:rFonts w:ascii="Times New Roman" w:hAnsi="Times New Roman" w:cs="Times New Roman"/>
        </w:rPr>
        <w:t>d</w:t>
      </w:r>
      <w:r w:rsidRPr="00883F89">
        <w:rPr>
          <w:rFonts w:ascii="Times New Roman" w:hAnsi="Times New Roman" w:cs="Times New Roman"/>
        </w:rPr>
        <w:t>es Objectifs de Développement Durable (ODD).</w:t>
      </w:r>
    </w:p>
    <w:p w14:paraId="04280C6A" w14:textId="4F239D36" w:rsidR="00F57FB6" w:rsidRPr="00883F89" w:rsidRDefault="00F57FB6" w:rsidP="002D7954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83F89">
        <w:rPr>
          <w:rFonts w:ascii="Times New Roman" w:hAnsi="Times New Roman" w:cs="Times New Roman"/>
        </w:rPr>
        <w:t xml:space="preserve">Le suivi </w:t>
      </w:r>
      <w:r w:rsidR="001418C2" w:rsidRPr="00883F89">
        <w:rPr>
          <w:rFonts w:ascii="Times New Roman" w:hAnsi="Times New Roman" w:cs="Times New Roman"/>
        </w:rPr>
        <w:t xml:space="preserve">des résultats du DI à travers les indicateurs de performance </w:t>
      </w:r>
      <w:r w:rsidRPr="00883F89">
        <w:rPr>
          <w:rFonts w:ascii="Times New Roman" w:hAnsi="Times New Roman" w:cs="Times New Roman"/>
        </w:rPr>
        <w:t xml:space="preserve">devrait être fréquent (au moins tous les </w:t>
      </w:r>
      <w:r w:rsidR="001B6141" w:rsidRPr="00883F89">
        <w:rPr>
          <w:rFonts w:ascii="Times New Roman" w:hAnsi="Times New Roman" w:cs="Times New Roman"/>
        </w:rPr>
        <w:t>six mois</w:t>
      </w:r>
      <w:r w:rsidRPr="00883F89">
        <w:rPr>
          <w:rFonts w:ascii="Times New Roman" w:hAnsi="Times New Roman" w:cs="Times New Roman"/>
        </w:rPr>
        <w:t>), permettant de réagir rapidement aux problèmes de mise en œuvre, et de procéder à des corrections de trajectoire rapides si nécessaire.</w:t>
      </w:r>
      <w:r w:rsidR="00D3671D" w:rsidRPr="00883F89">
        <w:rPr>
          <w:rFonts w:ascii="Times New Roman" w:hAnsi="Times New Roman" w:cs="Times New Roman"/>
        </w:rPr>
        <w:t xml:space="preserve"> Ainsi</w:t>
      </w:r>
      <w:r w:rsidR="002C0F8A" w:rsidRPr="00883F89">
        <w:rPr>
          <w:rFonts w:ascii="Times New Roman" w:hAnsi="Times New Roman" w:cs="Times New Roman"/>
        </w:rPr>
        <w:t>,</w:t>
      </w:r>
      <w:r w:rsidR="004A0DBF" w:rsidRPr="00883F89">
        <w:rPr>
          <w:rFonts w:ascii="Times New Roman" w:hAnsi="Times New Roman" w:cs="Times New Roman"/>
        </w:rPr>
        <w:t xml:space="preserve"> le cadre des </w:t>
      </w:r>
      <w:r w:rsidR="00E32E6D" w:rsidRPr="00883F89">
        <w:rPr>
          <w:rFonts w:ascii="Times New Roman" w:hAnsi="Times New Roman" w:cs="Times New Roman"/>
        </w:rPr>
        <w:t>résultats</w:t>
      </w:r>
      <w:r w:rsidR="004A0DBF" w:rsidRPr="00883F89">
        <w:rPr>
          <w:rFonts w:ascii="Times New Roman" w:hAnsi="Times New Roman" w:cs="Times New Roman"/>
        </w:rPr>
        <w:t xml:space="preserve"> </w:t>
      </w:r>
      <w:r w:rsidR="002C0F8A" w:rsidRPr="00883F89">
        <w:rPr>
          <w:rFonts w:ascii="Times New Roman" w:hAnsi="Times New Roman" w:cs="Times New Roman"/>
        </w:rPr>
        <w:t xml:space="preserve">devrait inclure </w:t>
      </w:r>
      <w:r w:rsidR="004A0DBF" w:rsidRPr="00883F89">
        <w:rPr>
          <w:rFonts w:ascii="Times New Roman" w:hAnsi="Times New Roman" w:cs="Times New Roman"/>
        </w:rPr>
        <w:t>des indicateurs de</w:t>
      </w:r>
      <w:r w:rsidR="00E32E6D" w:rsidRPr="00883F89">
        <w:rPr>
          <w:rFonts w:ascii="Times New Roman" w:hAnsi="Times New Roman" w:cs="Times New Roman"/>
        </w:rPr>
        <w:t xml:space="preserve"> routine </w:t>
      </w:r>
      <w:r w:rsidR="00A31D71" w:rsidRPr="00883F89">
        <w:rPr>
          <w:rFonts w:ascii="Times New Roman" w:hAnsi="Times New Roman" w:cs="Times New Roman"/>
        </w:rPr>
        <w:t>qui sont mesuré</w:t>
      </w:r>
      <w:r w:rsidR="00D41FF6" w:rsidRPr="00883F89">
        <w:rPr>
          <w:rFonts w:ascii="Times New Roman" w:hAnsi="Times New Roman" w:cs="Times New Roman"/>
        </w:rPr>
        <w:t>s</w:t>
      </w:r>
      <w:r w:rsidR="00A31D71" w:rsidRPr="00883F89">
        <w:rPr>
          <w:rFonts w:ascii="Times New Roman" w:hAnsi="Times New Roman" w:cs="Times New Roman"/>
        </w:rPr>
        <w:t xml:space="preserve"> plus </w:t>
      </w:r>
      <w:r w:rsidR="00601B86" w:rsidRPr="00883F89">
        <w:rPr>
          <w:rFonts w:ascii="Times New Roman" w:hAnsi="Times New Roman" w:cs="Times New Roman"/>
        </w:rPr>
        <w:t>fréquemment</w:t>
      </w:r>
      <w:r w:rsidR="00A31D71" w:rsidRPr="00883F89">
        <w:rPr>
          <w:rFonts w:ascii="Times New Roman" w:hAnsi="Times New Roman" w:cs="Times New Roman"/>
        </w:rPr>
        <w:t xml:space="preserve">, </w:t>
      </w:r>
      <w:r w:rsidR="0020427F" w:rsidRPr="00883F89">
        <w:rPr>
          <w:rFonts w:ascii="Times New Roman" w:hAnsi="Times New Roman" w:cs="Times New Roman"/>
        </w:rPr>
        <w:t>provenant des systèmes nationaux</w:t>
      </w:r>
      <w:r w:rsidR="000E6858" w:rsidRPr="00883F89">
        <w:rPr>
          <w:rFonts w:ascii="Times New Roman" w:hAnsi="Times New Roman" w:cs="Times New Roman"/>
        </w:rPr>
        <w:t xml:space="preserve">, </w:t>
      </w:r>
      <w:r w:rsidR="001069CC" w:rsidRPr="00883F89">
        <w:rPr>
          <w:rFonts w:ascii="Times New Roman" w:hAnsi="Times New Roman" w:cs="Times New Roman"/>
        </w:rPr>
        <w:t>ainsi que</w:t>
      </w:r>
      <w:r w:rsidR="000E6858" w:rsidRPr="00883F89">
        <w:rPr>
          <w:rFonts w:ascii="Times New Roman" w:hAnsi="Times New Roman" w:cs="Times New Roman"/>
        </w:rPr>
        <w:t xml:space="preserve"> des indicateurs provenant d’</w:t>
      </w:r>
      <w:r w:rsidR="00FE26D8" w:rsidRPr="00883F89">
        <w:rPr>
          <w:rFonts w:ascii="Times New Roman" w:hAnsi="Times New Roman" w:cs="Times New Roman"/>
        </w:rPr>
        <w:t>enquêtes</w:t>
      </w:r>
      <w:r w:rsidR="000E6858" w:rsidRPr="00883F89">
        <w:rPr>
          <w:rFonts w:ascii="Times New Roman" w:hAnsi="Times New Roman" w:cs="Times New Roman"/>
        </w:rPr>
        <w:t xml:space="preserve"> </w:t>
      </w:r>
      <w:r w:rsidR="004A07F8" w:rsidRPr="00883F89">
        <w:rPr>
          <w:rFonts w:ascii="Times New Roman" w:hAnsi="Times New Roman" w:cs="Times New Roman"/>
        </w:rPr>
        <w:t xml:space="preserve">dont les </w:t>
      </w:r>
      <w:r w:rsidR="002A78DB" w:rsidRPr="00883F89">
        <w:rPr>
          <w:rFonts w:ascii="Times New Roman" w:hAnsi="Times New Roman" w:cs="Times New Roman"/>
        </w:rPr>
        <w:t>données</w:t>
      </w:r>
      <w:r w:rsidR="004A07F8" w:rsidRPr="00883F89">
        <w:rPr>
          <w:rFonts w:ascii="Times New Roman" w:hAnsi="Times New Roman" w:cs="Times New Roman"/>
        </w:rPr>
        <w:t xml:space="preserve"> </w:t>
      </w:r>
      <w:r w:rsidR="00601B86" w:rsidRPr="00883F89">
        <w:rPr>
          <w:rFonts w:ascii="Times New Roman" w:hAnsi="Times New Roman" w:cs="Times New Roman"/>
        </w:rPr>
        <w:t xml:space="preserve">sont </w:t>
      </w:r>
      <w:r w:rsidR="000E6858" w:rsidRPr="00883F89">
        <w:rPr>
          <w:rFonts w:ascii="Times New Roman" w:hAnsi="Times New Roman" w:cs="Times New Roman"/>
        </w:rPr>
        <w:t>plus robuste</w:t>
      </w:r>
      <w:r w:rsidR="004A07F8" w:rsidRPr="00883F89">
        <w:rPr>
          <w:rFonts w:ascii="Times New Roman" w:hAnsi="Times New Roman" w:cs="Times New Roman"/>
        </w:rPr>
        <w:t>s et fiables</w:t>
      </w:r>
      <w:r w:rsidR="00FE26D8" w:rsidRPr="00883F89">
        <w:rPr>
          <w:rFonts w:ascii="Times New Roman" w:hAnsi="Times New Roman" w:cs="Times New Roman"/>
        </w:rPr>
        <w:t xml:space="preserve"> </w:t>
      </w:r>
      <w:r w:rsidR="002A78DB" w:rsidRPr="00883F89">
        <w:rPr>
          <w:rFonts w:ascii="Times New Roman" w:hAnsi="Times New Roman" w:cs="Times New Roman"/>
        </w:rPr>
        <w:t>malgré</w:t>
      </w:r>
      <w:r w:rsidR="00FE26D8" w:rsidRPr="00883F89">
        <w:rPr>
          <w:rFonts w:ascii="Times New Roman" w:hAnsi="Times New Roman" w:cs="Times New Roman"/>
        </w:rPr>
        <w:t xml:space="preserve"> </w:t>
      </w:r>
      <w:r w:rsidR="0098651D" w:rsidRPr="00883F89">
        <w:rPr>
          <w:rFonts w:ascii="Times New Roman" w:hAnsi="Times New Roman" w:cs="Times New Roman"/>
        </w:rPr>
        <w:t>la longue périodicité</w:t>
      </w:r>
      <w:r w:rsidR="0095344C" w:rsidRPr="00883F89">
        <w:rPr>
          <w:rFonts w:ascii="Times New Roman" w:hAnsi="Times New Roman" w:cs="Times New Roman"/>
        </w:rPr>
        <w:t>.</w:t>
      </w:r>
    </w:p>
    <w:p w14:paraId="1DCA16EE" w14:textId="65E51D13" w:rsidR="00B80786" w:rsidRPr="00883F89" w:rsidRDefault="00C91A2A" w:rsidP="002D7954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83F89">
        <w:rPr>
          <w:rFonts w:ascii="Times New Roman" w:hAnsi="Times New Roman" w:cs="Times New Roman"/>
        </w:rPr>
        <w:t>Le cadre des résultats</w:t>
      </w:r>
      <w:r w:rsidR="005F4B84" w:rsidRPr="00883F89">
        <w:rPr>
          <w:rFonts w:ascii="Times New Roman" w:hAnsi="Times New Roman" w:cs="Times New Roman"/>
        </w:rPr>
        <w:t xml:space="preserve"> devrait permettre une désagrégation au niveau infranational</w:t>
      </w:r>
      <w:r w:rsidR="009F0294" w:rsidRPr="00883F89">
        <w:rPr>
          <w:rFonts w:ascii="Times New Roman" w:hAnsi="Times New Roman" w:cs="Times New Roman"/>
        </w:rPr>
        <w:t xml:space="preserve"> pour permettre d</w:t>
      </w:r>
      <w:r w:rsidR="00AF79F6" w:rsidRPr="00883F89">
        <w:rPr>
          <w:rFonts w:ascii="Times New Roman" w:hAnsi="Times New Roman" w:cs="Times New Roman"/>
        </w:rPr>
        <w:t>’éliciter</w:t>
      </w:r>
      <w:r w:rsidR="009F0294" w:rsidRPr="00883F89">
        <w:rPr>
          <w:rFonts w:ascii="Times New Roman" w:hAnsi="Times New Roman" w:cs="Times New Roman"/>
        </w:rPr>
        <w:t xml:space="preserve"> les </w:t>
      </w:r>
      <w:r w:rsidR="00AF79F6" w:rsidRPr="00883F89">
        <w:rPr>
          <w:rFonts w:ascii="Times New Roman" w:hAnsi="Times New Roman" w:cs="Times New Roman"/>
        </w:rPr>
        <w:t>problèmes</w:t>
      </w:r>
      <w:r w:rsidR="00A154FC" w:rsidRPr="00883F89">
        <w:rPr>
          <w:rFonts w:ascii="Times New Roman" w:hAnsi="Times New Roman" w:cs="Times New Roman"/>
        </w:rPr>
        <w:t xml:space="preserve"> d</w:t>
      </w:r>
      <w:r w:rsidR="00AF79F6" w:rsidRPr="00883F89">
        <w:rPr>
          <w:rFonts w:ascii="Times New Roman" w:hAnsi="Times New Roman" w:cs="Times New Roman"/>
        </w:rPr>
        <w:t>’équité</w:t>
      </w:r>
      <w:r w:rsidR="009346A2" w:rsidRPr="00883F89">
        <w:rPr>
          <w:rFonts w:ascii="Times New Roman" w:hAnsi="Times New Roman" w:cs="Times New Roman"/>
        </w:rPr>
        <w:t xml:space="preserve">, les </w:t>
      </w:r>
      <w:r w:rsidRPr="00883F89">
        <w:rPr>
          <w:rFonts w:ascii="Times New Roman" w:hAnsi="Times New Roman" w:cs="Times New Roman"/>
        </w:rPr>
        <w:t>disparités</w:t>
      </w:r>
      <w:r w:rsidR="00EB5654" w:rsidRPr="00883F89">
        <w:rPr>
          <w:rFonts w:ascii="Times New Roman" w:hAnsi="Times New Roman" w:cs="Times New Roman"/>
        </w:rPr>
        <w:t xml:space="preserve"> entre </w:t>
      </w:r>
      <w:r w:rsidRPr="00883F89">
        <w:rPr>
          <w:rFonts w:ascii="Times New Roman" w:hAnsi="Times New Roman" w:cs="Times New Roman"/>
        </w:rPr>
        <w:t>régions</w:t>
      </w:r>
      <w:r w:rsidR="00EB5654" w:rsidRPr="00883F89">
        <w:rPr>
          <w:rFonts w:ascii="Times New Roman" w:hAnsi="Times New Roman" w:cs="Times New Roman"/>
        </w:rPr>
        <w:t xml:space="preserve"> et districts sanitaires, et faire le suivi des groupes </w:t>
      </w:r>
      <w:r w:rsidRPr="00883F89">
        <w:rPr>
          <w:rFonts w:ascii="Times New Roman" w:hAnsi="Times New Roman" w:cs="Times New Roman"/>
        </w:rPr>
        <w:t>vulnérables</w:t>
      </w:r>
      <w:r w:rsidR="00C16F0A" w:rsidRPr="00883F89">
        <w:rPr>
          <w:rFonts w:ascii="Times New Roman" w:hAnsi="Times New Roman" w:cs="Times New Roman"/>
        </w:rPr>
        <w:t>.</w:t>
      </w:r>
    </w:p>
    <w:p w14:paraId="4C028FDC" w14:textId="6E4ACCF8" w:rsidR="00BD679D" w:rsidRPr="00883F89" w:rsidRDefault="00BD679D" w:rsidP="00C91A2A">
      <w:pPr>
        <w:pStyle w:val="Paragraphedeliste"/>
        <w:jc w:val="both"/>
        <w:rPr>
          <w:rFonts w:ascii="Times New Roman" w:hAnsi="Times New Roman" w:cs="Times New Roman"/>
        </w:rPr>
      </w:pPr>
    </w:p>
    <w:p w14:paraId="46A649BE" w14:textId="7467DD67" w:rsidR="00AF2674" w:rsidRPr="00883F89" w:rsidRDefault="00AF2674" w:rsidP="00C91A2A">
      <w:pPr>
        <w:pStyle w:val="Paragraphedeliste"/>
        <w:jc w:val="both"/>
        <w:rPr>
          <w:rFonts w:ascii="Times New Roman" w:hAnsi="Times New Roman" w:cs="Times New Roman"/>
        </w:rPr>
      </w:pPr>
    </w:p>
    <w:p w14:paraId="5B72FC73" w14:textId="77777777" w:rsidR="00053E60" w:rsidRDefault="00053E60" w:rsidP="00053E60">
      <w:pPr>
        <w:jc w:val="both"/>
        <w:rPr>
          <w:rFonts w:ascii="Times New Roman" w:hAnsi="Times New Roman" w:cs="Times New Roman"/>
        </w:rPr>
      </w:pPr>
    </w:p>
    <w:p w14:paraId="09E63E51" w14:textId="77777777" w:rsidR="00CB173B" w:rsidRDefault="00CB173B" w:rsidP="00053E60">
      <w:pPr>
        <w:jc w:val="both"/>
        <w:rPr>
          <w:rFonts w:ascii="Times New Roman" w:hAnsi="Times New Roman" w:cs="Times New Roman"/>
        </w:rPr>
      </w:pPr>
    </w:p>
    <w:p w14:paraId="2882A4B3" w14:textId="77777777" w:rsidR="00CB173B" w:rsidRDefault="00CB173B" w:rsidP="00053E60">
      <w:pPr>
        <w:jc w:val="both"/>
        <w:rPr>
          <w:rFonts w:ascii="Times New Roman" w:hAnsi="Times New Roman" w:cs="Times New Roman"/>
        </w:rPr>
      </w:pPr>
    </w:p>
    <w:p w14:paraId="281A72A4" w14:textId="77777777" w:rsidR="006243B7" w:rsidRDefault="006243B7" w:rsidP="00CB173B">
      <w:pPr>
        <w:rPr>
          <w:noProof/>
        </w:rPr>
      </w:pPr>
    </w:p>
    <w:p w14:paraId="392BE7F3" w14:textId="77777777" w:rsidR="006243B7" w:rsidRDefault="006243B7" w:rsidP="00CB173B">
      <w:pPr>
        <w:rPr>
          <w:rFonts w:ascii="Times New Roman" w:hAnsi="Times New Roman" w:cs="Times New Roman"/>
        </w:rPr>
        <w:sectPr w:rsidR="006243B7" w:rsidSect="006243B7">
          <w:footerReference w:type="default" r:id="rId11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86ED59E" w14:textId="1390E849" w:rsidR="00CB173B" w:rsidRPr="00883F89" w:rsidRDefault="00CB173B" w:rsidP="00CB173B">
      <w:pPr>
        <w:rPr>
          <w:rFonts w:ascii="Times New Roman" w:hAnsi="Times New Roman" w:cs="Times New Roman"/>
        </w:rPr>
        <w:sectPr w:rsidR="00CB173B" w:rsidRPr="00883F89" w:rsidSect="006243B7">
          <w:pgSz w:w="15840" w:h="12240" w:orient="landscape"/>
          <w:pgMar w:top="1080" w:right="1440" w:bottom="1080" w:left="1440" w:header="720" w:footer="720" w:gutter="0"/>
          <w:cols w:space="720"/>
          <w:docGrid w:linePitch="360"/>
        </w:sect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91" behindDoc="1" locked="0" layoutInCell="1" allowOverlap="1" wp14:anchorId="1AF79C9F" wp14:editId="5BFCE3DF">
            <wp:simplePos x="0" y="0"/>
            <wp:positionH relativeFrom="column">
              <wp:posOffset>-662940</wp:posOffset>
            </wp:positionH>
            <wp:positionV relativeFrom="page">
              <wp:posOffset>685800</wp:posOffset>
            </wp:positionV>
            <wp:extent cx="9478010" cy="7136765"/>
            <wp:effectExtent l="0" t="0" r="8890" b="6985"/>
            <wp:wrapTight wrapText="bothSides">
              <wp:wrapPolygon edited="0">
                <wp:start x="0" y="0"/>
                <wp:lineTo x="0" y="21563"/>
                <wp:lineTo x="21577" y="21563"/>
                <wp:lineTo x="21577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"/>
                    <a:stretch/>
                  </pic:blipFill>
                  <pic:spPr bwMode="auto">
                    <a:xfrm>
                      <a:off x="0" y="0"/>
                      <a:ext cx="9478010" cy="713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7DB84" w14:textId="2E6509C3" w:rsidR="004C4395" w:rsidRPr="00883F89" w:rsidRDefault="004C4395" w:rsidP="002C3518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883F89">
        <w:rPr>
          <w:rFonts w:ascii="Times New Roman" w:hAnsi="Times New Roman" w:cs="Times New Roman"/>
          <w:b/>
        </w:rPr>
        <w:lastRenderedPageBreak/>
        <w:t>Le cadre des résultats</w:t>
      </w:r>
    </w:p>
    <w:p w14:paraId="5C2A359B" w14:textId="77777777" w:rsidR="00D76AF6" w:rsidRPr="00883F89" w:rsidRDefault="00D76AF6" w:rsidP="001B3598">
      <w:pPr>
        <w:pStyle w:val="Paragraphedeliste"/>
        <w:rPr>
          <w:rFonts w:ascii="Times New Roman" w:hAnsi="Times New Roman" w:cs="Times New Roman"/>
          <w:b/>
          <w:u w:val="single"/>
        </w:rPr>
      </w:pPr>
    </w:p>
    <w:p w14:paraId="51B81AEB" w14:textId="37E15FEF" w:rsidR="009A7151" w:rsidRPr="00883F89" w:rsidRDefault="00A40630" w:rsidP="001B3598">
      <w:pPr>
        <w:pStyle w:val="Paragraphedeliste"/>
        <w:rPr>
          <w:rFonts w:ascii="Times New Roman" w:hAnsi="Times New Roman" w:cs="Times New Roman"/>
          <w:b/>
          <w:u w:val="single"/>
        </w:rPr>
      </w:pPr>
      <w:r w:rsidRPr="00883F89">
        <w:rPr>
          <w:rFonts w:ascii="Times New Roman" w:hAnsi="Times New Roman" w:cs="Times New Roman"/>
          <w:b/>
          <w:u w:val="single"/>
        </w:rPr>
        <w:t>Impact</w:t>
      </w:r>
    </w:p>
    <w:tbl>
      <w:tblPr>
        <w:tblW w:w="5920" w:type="pct"/>
        <w:jc w:val="center"/>
        <w:tblLook w:val="04A0" w:firstRow="1" w:lastRow="0" w:firstColumn="1" w:lastColumn="0" w:noHBand="0" w:noVBand="1"/>
      </w:tblPr>
      <w:tblGrid>
        <w:gridCol w:w="3954"/>
        <w:gridCol w:w="1982"/>
        <w:gridCol w:w="1618"/>
        <w:gridCol w:w="1891"/>
        <w:gridCol w:w="1625"/>
      </w:tblGrid>
      <w:tr w:rsidR="008A402E" w:rsidRPr="00883F89" w14:paraId="2C0505D1" w14:textId="32CD204A" w:rsidTr="00F81100">
        <w:trPr>
          <w:trHeight w:val="377"/>
          <w:jc w:val="center"/>
        </w:trPr>
        <w:tc>
          <w:tcPr>
            <w:tcW w:w="1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193C79C" w14:textId="2D4C6CCD" w:rsidR="008A402E" w:rsidRPr="00883F89" w:rsidRDefault="008A402E" w:rsidP="008B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 de l’indicateur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 w:themeFill="accent3" w:themeFillTint="66"/>
          </w:tcPr>
          <w:p w14:paraId="3D5D7C25" w14:textId="2A417407" w:rsidR="008A402E" w:rsidRPr="00883F89" w:rsidRDefault="008A402E" w:rsidP="00F55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32F6365" w14:textId="6213A806" w:rsidR="008A402E" w:rsidRPr="00883F89" w:rsidRDefault="00B0277B" w:rsidP="00D61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Situation </w:t>
            </w:r>
            <w:r w:rsidR="008A402E" w:rsidRPr="00883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 base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 w:themeFill="accent3" w:themeFillTint="66"/>
          </w:tcPr>
          <w:p w14:paraId="534CB730" w14:textId="5754D740" w:rsidR="00334F3D" w:rsidRPr="00883F89" w:rsidRDefault="00334F3D" w:rsidP="008A4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Cibles</w:t>
            </w:r>
          </w:p>
        </w:tc>
      </w:tr>
      <w:tr w:rsidR="008A402E" w:rsidRPr="00883F89" w14:paraId="626FD465" w14:textId="665CDABB" w:rsidTr="00F81100">
        <w:trPr>
          <w:trHeight w:val="377"/>
          <w:jc w:val="center"/>
        </w:trPr>
        <w:tc>
          <w:tcPr>
            <w:tcW w:w="1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FED345E" w14:textId="77341702" w:rsidR="008A402E" w:rsidRPr="00883F89" w:rsidRDefault="008A402E" w:rsidP="00F55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9FEBC15" w14:textId="7BCA54F2" w:rsidR="008A402E" w:rsidRPr="00883F89" w:rsidRDefault="008A402E" w:rsidP="00F55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F0B1354" w14:textId="23D33956" w:rsidR="008A402E" w:rsidRPr="00883F89" w:rsidRDefault="00B0277B" w:rsidP="00F55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Valeur de base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C826BD6" w14:textId="49AE98CB" w:rsidR="008A402E" w:rsidRPr="00883F89" w:rsidRDefault="00A939A4" w:rsidP="00F552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7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01E0207" w14:textId="7D6333D1" w:rsidR="00334F3D" w:rsidRPr="00883F89" w:rsidRDefault="00334F3D" w:rsidP="008A4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846BD" w:rsidRPr="00883F89" w14:paraId="2ACFD487" w14:textId="66D0066D" w:rsidTr="00F81100">
        <w:trPr>
          <w:trHeight w:val="377"/>
          <w:jc w:val="center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09D19" w14:textId="6CAF3CE5" w:rsidR="008846BD" w:rsidRPr="00883F89" w:rsidRDefault="008846BD" w:rsidP="00884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Ratio de mortalité maternelle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78A06" w14:textId="4CCA4C8A" w:rsidR="008846BD" w:rsidRPr="00883F89" w:rsidRDefault="008846BD" w:rsidP="00884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EDS/MICS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6B5AA" w14:textId="20513584" w:rsidR="008846BD" w:rsidRPr="00883F89" w:rsidRDefault="008846BD" w:rsidP="00884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3F80C" w14:textId="1B945227" w:rsidR="008846BD" w:rsidRPr="00883F89" w:rsidRDefault="009A0B1E" w:rsidP="00884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EDS </w:t>
            </w:r>
            <w:r w:rsidR="00886B46"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2011-2012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3340E" w14:textId="1F2B21C0" w:rsidR="006C6FFD" w:rsidRPr="00883F89" w:rsidRDefault="00061A1D" w:rsidP="00C033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417.</w:t>
            </w:r>
            <w:r w:rsidR="0020148D" w:rsidRPr="00883F8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38</w:t>
            </w:r>
            <w:r w:rsidR="00210715" w:rsidRPr="00883F8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(202</w:t>
            </w:r>
            <w:r w:rsidR="0078676F" w:rsidRPr="00883F8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3)</w:t>
            </w:r>
          </w:p>
        </w:tc>
      </w:tr>
      <w:tr w:rsidR="008846BD" w:rsidRPr="00883F89" w14:paraId="1382D8A4" w14:textId="5B9712A0" w:rsidTr="00F81100">
        <w:trPr>
          <w:trHeight w:val="350"/>
          <w:jc w:val="center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15AA" w14:textId="450B07FF" w:rsidR="008846BD" w:rsidRPr="00883F89" w:rsidRDefault="008846BD" w:rsidP="00884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Quotient de mortalité néonatale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CD56" w14:textId="45CCAD89" w:rsidR="008846BD" w:rsidRPr="00883F89" w:rsidRDefault="009A0B1E" w:rsidP="00884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EDS/</w:t>
            </w:r>
            <w:r w:rsidR="008846BD"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MICS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22705" w14:textId="3747F3D3" w:rsidR="008846BD" w:rsidRPr="00883F89" w:rsidRDefault="008846BD" w:rsidP="00884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FE64D" w14:textId="24205BB7" w:rsidR="008846BD" w:rsidRPr="00883F89" w:rsidRDefault="009A0B1E" w:rsidP="00884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MICS 2016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447C3" w14:textId="4B730BED" w:rsidR="004523D7" w:rsidRPr="00883F89" w:rsidRDefault="002970AB" w:rsidP="00C033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20,97 (2023)</w:t>
            </w:r>
          </w:p>
        </w:tc>
      </w:tr>
      <w:tr w:rsidR="008846BD" w:rsidRPr="00883F89" w14:paraId="3C52C201" w14:textId="6CD07BB2" w:rsidTr="00F81100">
        <w:trPr>
          <w:trHeight w:val="377"/>
          <w:jc w:val="center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B5B1" w14:textId="02329DA8" w:rsidR="008846BD" w:rsidRPr="00883F89" w:rsidRDefault="008846BD" w:rsidP="00884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Quotient de mortalité des enfants de moins de cinq ans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FFDED" w14:textId="55C2A469" w:rsidR="008846BD" w:rsidRPr="00883F89" w:rsidRDefault="0030706F" w:rsidP="00884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EDS/</w:t>
            </w:r>
            <w:r w:rsidR="008846BD"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MICS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3089" w14:textId="498E5292" w:rsidR="008846BD" w:rsidRPr="00883F89" w:rsidRDefault="008846BD" w:rsidP="00884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BD87" w14:textId="1F218509" w:rsidR="008846BD" w:rsidRPr="00883F89" w:rsidRDefault="00F35C75" w:rsidP="00884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MICS 2016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8D9DD" w14:textId="0E596822" w:rsidR="005A66BD" w:rsidRPr="00883F89" w:rsidRDefault="005711AA" w:rsidP="00C033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  <w:r w:rsidR="006B3A4B" w:rsidRPr="00883F8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9.02</w:t>
            </w:r>
            <w:r w:rsidR="00210715" w:rsidRPr="00883F8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(202</w:t>
            </w:r>
            <w:r w:rsidR="00D9345A" w:rsidRPr="00883F8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  <w:r w:rsidR="00D51F55" w:rsidRPr="00883F8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8846BD" w:rsidRPr="00883F89" w14:paraId="78FC173B" w14:textId="56EA2130" w:rsidTr="00765EB2">
        <w:trPr>
          <w:trHeight w:val="521"/>
          <w:jc w:val="center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71A9" w14:textId="2B80E4E2" w:rsidR="008846BD" w:rsidRPr="00C903AB" w:rsidRDefault="008846BD" w:rsidP="008846BD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7C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Prévalence du retard de croissance (modéré et </w:t>
            </w:r>
            <w:r w:rsidRPr="00C903AB">
              <w:rPr>
                <w:rFonts w:ascii="Times New Roman" w:hAnsi="Times New Roman" w:cs="Times New Roman"/>
                <w:bCs/>
                <w:sz w:val="20"/>
                <w:szCs w:val="20"/>
              </w:rPr>
              <w:t>grave)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A3D4F" w14:textId="1A231CFE" w:rsidR="008846BD" w:rsidRPr="00883F89" w:rsidRDefault="0030706F" w:rsidP="00884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EDS/</w:t>
            </w:r>
            <w:r w:rsidR="008846BD"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MICS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BC2A" w14:textId="476322C0" w:rsidR="008846BD" w:rsidRPr="00883F89" w:rsidRDefault="008846BD" w:rsidP="008846B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F833DD"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877F" w14:textId="086B4224" w:rsidR="008846BD" w:rsidRPr="00883F89" w:rsidRDefault="00F35C75" w:rsidP="00884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MICS 2016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AF3D6" w14:textId="77777777" w:rsidR="00F35C75" w:rsidRPr="00883F89" w:rsidRDefault="00F35C75" w:rsidP="00C033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5FF5" w:rsidRPr="00883F89" w14:paraId="67D60257" w14:textId="78FFB0D2" w:rsidTr="00F81100">
        <w:trPr>
          <w:trHeight w:val="350"/>
          <w:jc w:val="center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B7824" w14:textId="4B9FB15D" w:rsidR="00D45FF5" w:rsidRPr="00883F89" w:rsidRDefault="00D45FF5" w:rsidP="00D45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Taux de fécondité chez les adolescent</w:t>
            </w:r>
            <w:r w:rsidR="009F0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</w:t>
            </w:r>
            <w:r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CE72D" w14:textId="05C8F429" w:rsidR="00D45FF5" w:rsidRPr="00883F89" w:rsidRDefault="0030706F" w:rsidP="00D45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EDS/</w:t>
            </w:r>
            <w:r w:rsidR="00D45FF5"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MICS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8AFA" w14:textId="5B974BF7" w:rsidR="00D45FF5" w:rsidRPr="00883F89" w:rsidRDefault="00D45FF5" w:rsidP="00D45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98CAA" w14:textId="0424D0C1" w:rsidR="00D45FF5" w:rsidRPr="00883F89" w:rsidRDefault="00F35C75" w:rsidP="00D45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MICS 2016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7C2F0" w14:textId="77777777" w:rsidR="00F35C75" w:rsidRPr="00883F89" w:rsidRDefault="00F35C75" w:rsidP="00D45F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F59" w:rsidRPr="00883F89" w14:paraId="2B528629" w14:textId="4374962F" w:rsidTr="004E1EB5">
        <w:trPr>
          <w:trHeight w:val="1043"/>
          <w:jc w:val="center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A05F" w14:textId="3F2C9EF6" w:rsidR="00E52F59" w:rsidRPr="00C903AB" w:rsidRDefault="00E52F59" w:rsidP="00765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7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L’incidence de la pauvreté (proportion de ménages qui sont devenus pauvre</w:t>
            </w:r>
            <w:r w:rsidR="00AB7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AB7C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à cause des paiements directs </w:t>
            </w:r>
            <w:r w:rsidRPr="00C90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pour les services de santé)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0B0B" w14:textId="1044213C" w:rsidR="00E52F59" w:rsidRPr="00883F89" w:rsidRDefault="000E024D" w:rsidP="00765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Enquête : Analyse de la protection des ménages contre les risques financiers en santé 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771E" w14:textId="52F621CD" w:rsidR="00E52F59" w:rsidRPr="00883F89" w:rsidRDefault="00E52F59" w:rsidP="00765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6239A" w:rsidRPr="00883F8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(DAF - étude non validée au niveau national)</w:t>
            </w:r>
            <w:r w:rsidRPr="00883F89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br/>
            </w:r>
            <w:r w:rsidRPr="00883F89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br/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96BD" w14:textId="56373426" w:rsidR="00E52F59" w:rsidRPr="00883F89" w:rsidRDefault="000E024D" w:rsidP="00765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Enquête : Analyse de la protection des ménages contre les risques financiers en santé (2015)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F8B3C" w14:textId="77777777" w:rsidR="00F35C75" w:rsidRPr="00883F89" w:rsidRDefault="00F35C75" w:rsidP="00765EB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</w:tbl>
    <w:p w14:paraId="2C32844F" w14:textId="77777777" w:rsidR="009A7151" w:rsidRPr="00883F89" w:rsidRDefault="009A7151" w:rsidP="00D4063A">
      <w:pPr>
        <w:rPr>
          <w:b/>
        </w:rPr>
      </w:pPr>
    </w:p>
    <w:p w14:paraId="6E680746" w14:textId="05CB83F1" w:rsidR="00A40630" w:rsidRPr="00883F89" w:rsidRDefault="00B47294" w:rsidP="00AF4092">
      <w:pPr>
        <w:pStyle w:val="Paragraphedeliste"/>
        <w:rPr>
          <w:rFonts w:ascii="Times New Roman" w:hAnsi="Times New Roman" w:cs="Times New Roman"/>
          <w:b/>
        </w:rPr>
      </w:pPr>
      <w:r w:rsidRPr="00883F89">
        <w:rPr>
          <w:rFonts w:ascii="Times New Roman" w:hAnsi="Times New Roman" w:cs="Times New Roman"/>
          <w:b/>
          <w:u w:val="single"/>
        </w:rPr>
        <w:t>Effet 1 :</w:t>
      </w:r>
      <w:r w:rsidRPr="00883F89">
        <w:rPr>
          <w:rFonts w:ascii="Times New Roman" w:hAnsi="Times New Roman" w:cs="Times New Roman"/>
          <w:b/>
        </w:rPr>
        <w:t xml:space="preserve"> </w:t>
      </w:r>
      <w:r w:rsidR="00B15A43" w:rsidRPr="00883F89">
        <w:rPr>
          <w:rFonts w:ascii="Times New Roman" w:hAnsi="Times New Roman" w:cs="Times New Roman"/>
          <w:b/>
        </w:rPr>
        <w:t>La demande et continuité de l’utilisation des services de santé et de l’adhésion aux pratiques favorables à la santé augmentent</w:t>
      </w:r>
    </w:p>
    <w:tbl>
      <w:tblPr>
        <w:tblW w:w="5965" w:type="pct"/>
        <w:jc w:val="center"/>
        <w:tblLook w:val="04A0" w:firstRow="1" w:lastRow="0" w:firstColumn="1" w:lastColumn="0" w:noHBand="0" w:noVBand="1"/>
      </w:tblPr>
      <w:tblGrid>
        <w:gridCol w:w="3956"/>
        <w:gridCol w:w="1979"/>
        <w:gridCol w:w="1624"/>
        <w:gridCol w:w="1894"/>
        <w:gridCol w:w="1702"/>
      </w:tblGrid>
      <w:tr w:rsidR="00B02E37" w:rsidRPr="00883F89" w14:paraId="0CC35835" w14:textId="7112D135" w:rsidTr="00442C3E">
        <w:trPr>
          <w:cantSplit/>
          <w:trHeight w:val="422"/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8BAA1D2" w14:textId="6F4DA01C" w:rsidR="00AF4092" w:rsidRPr="00883F89" w:rsidRDefault="00AF4092" w:rsidP="00AF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 de l’indicateur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 w:themeFill="accent3" w:themeFillTint="66"/>
          </w:tcPr>
          <w:p w14:paraId="5ADEDE43" w14:textId="0DC2821D" w:rsidR="00AF4092" w:rsidRPr="00883F89" w:rsidRDefault="00AF4092" w:rsidP="00AF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FDF18B2" w14:textId="6F724CF2" w:rsidR="00AF4092" w:rsidRPr="00883F89" w:rsidRDefault="0030706F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Situation de base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 w:themeFill="accent3" w:themeFillTint="66"/>
          </w:tcPr>
          <w:p w14:paraId="659E6C69" w14:textId="288C22ED" w:rsidR="0030706F" w:rsidRPr="00883F89" w:rsidRDefault="0030706F" w:rsidP="0030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Cibles</w:t>
            </w:r>
          </w:p>
        </w:tc>
      </w:tr>
      <w:tr w:rsidR="0030706F" w:rsidRPr="00883F89" w14:paraId="54DADCDE" w14:textId="7A09BE9B" w:rsidTr="007E56EC">
        <w:trPr>
          <w:cantSplit/>
          <w:trHeight w:val="422"/>
          <w:jc w:val="center"/>
        </w:trPr>
        <w:tc>
          <w:tcPr>
            <w:tcW w:w="1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7B8629C" w14:textId="77777777" w:rsidR="0030706F" w:rsidRPr="00883F89" w:rsidRDefault="0030706F" w:rsidP="0030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7ABAC20" w14:textId="77777777" w:rsidR="0030706F" w:rsidRPr="00883F89" w:rsidRDefault="0030706F" w:rsidP="0030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FF71CF8" w14:textId="4E38D4AC" w:rsidR="0030706F" w:rsidRPr="00883F89" w:rsidRDefault="0030706F" w:rsidP="0030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Valeur de base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61F2BA9" w14:textId="2FF27707" w:rsidR="0030706F" w:rsidRPr="00883F89" w:rsidRDefault="0030706F" w:rsidP="00307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7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2E23CEA" w14:textId="77777777" w:rsidR="0030706F" w:rsidRPr="00883F89" w:rsidRDefault="0030706F" w:rsidP="0030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56EC" w:rsidRPr="00883F89" w14:paraId="7752DB4F" w14:textId="77777777" w:rsidTr="007E56EC">
        <w:trPr>
          <w:cantSplit/>
          <w:trHeight w:val="323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B7D0C6F" w14:textId="2CC2D6F3" w:rsidR="007E56EC" w:rsidRPr="00883F89" w:rsidRDefault="007E56EC" w:rsidP="0030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Indicateurs d’effet</w:t>
            </w:r>
          </w:p>
        </w:tc>
      </w:tr>
      <w:tr w:rsidR="00AF4092" w:rsidRPr="00883F89" w14:paraId="33670FB6" w14:textId="5D6DE0F8" w:rsidTr="007E56EC">
        <w:trPr>
          <w:cantSplit/>
          <w:trHeight w:val="422"/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2210" w14:textId="77777777" w:rsidR="00AF4092" w:rsidRPr="00883F89" w:rsidRDefault="00AF4092" w:rsidP="00AF4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Couverture en CPN 4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BE0AE69" w14:textId="31310BB3" w:rsidR="00AF4092" w:rsidRPr="00883F89" w:rsidRDefault="0030706F" w:rsidP="00AF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EDS/</w:t>
            </w:r>
            <w:r w:rsidR="00AF4092"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MICS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58FA984" w14:textId="52F22221" w:rsidR="00AF4092" w:rsidRPr="00883F89" w:rsidRDefault="00AF4092" w:rsidP="00AF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51.3%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4F0B49C" w14:textId="0584F3E3" w:rsidR="00AF4092" w:rsidRPr="00883F89" w:rsidRDefault="0030706F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MICS 2016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2039D23" w14:textId="33051298" w:rsidR="00CB7BF3" w:rsidRPr="00883F89" w:rsidRDefault="00A438B3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80% (2023)</w:t>
            </w:r>
          </w:p>
        </w:tc>
      </w:tr>
      <w:tr w:rsidR="00AF4092" w:rsidRPr="00883F89" w14:paraId="66D0A456" w14:textId="44E7F834" w:rsidTr="007E56EC">
        <w:trPr>
          <w:cantSplit/>
          <w:trHeight w:val="477"/>
          <w:jc w:val="center"/>
        </w:trPr>
        <w:tc>
          <w:tcPr>
            <w:tcW w:w="1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7C08" w14:textId="77A6A789" w:rsidR="00AF4092" w:rsidRPr="00883F89" w:rsidRDefault="00AF4092" w:rsidP="00AF4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Proxy de </w:t>
            </w:r>
            <w:r w:rsidR="00322630" w:rsidRPr="00883F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u w:val="single"/>
              </w:rPr>
              <w:t>routine :</w:t>
            </w:r>
            <w:r w:rsidRPr="00883F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883F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Couverture en CPN4 dans les établissements de santé</w:t>
            </w:r>
          </w:p>
        </w:tc>
        <w:tc>
          <w:tcPr>
            <w:tcW w:w="8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CFA41" w14:textId="2610E6FE" w:rsidR="00AF4092" w:rsidRPr="00883F89" w:rsidRDefault="00AF4092" w:rsidP="00AF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SNIS </w:t>
            </w:r>
          </w:p>
        </w:tc>
        <w:tc>
          <w:tcPr>
            <w:tcW w:w="72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3DB1" w14:textId="2E142AA0" w:rsidR="00AF4092" w:rsidRPr="00883F89" w:rsidRDefault="00AF4092" w:rsidP="00AF4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37.2%</w:t>
            </w:r>
          </w:p>
        </w:tc>
        <w:tc>
          <w:tcPr>
            <w:tcW w:w="84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96FF69" w14:textId="4DBCE938" w:rsidR="00AF4092" w:rsidRPr="00883F89" w:rsidRDefault="0030706F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SNIS </w:t>
            </w:r>
            <w:r w:rsidRPr="00883F8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(T2, 2019)</w:t>
            </w:r>
          </w:p>
        </w:tc>
        <w:tc>
          <w:tcPr>
            <w:tcW w:w="76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F37571" w14:textId="22F884A2" w:rsidR="00CB7BF3" w:rsidRPr="00883F89" w:rsidRDefault="00CB7BF3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D77ADE" w:rsidRPr="00883F89" w14:paraId="7AF1842D" w14:textId="61374825" w:rsidTr="007E56EC">
        <w:trPr>
          <w:cantSplit/>
          <w:trHeight w:val="368"/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6CF4" w14:textId="77777777" w:rsidR="00D77ADE" w:rsidRPr="00883F89" w:rsidRDefault="00D77ADE" w:rsidP="00D77A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Pourcentage d'accouchements assistés par un personnel qualifié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889B430" w14:textId="587BAE0A" w:rsidR="00D77ADE" w:rsidRPr="00883F89" w:rsidRDefault="0030706F" w:rsidP="00D7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EDS/</w:t>
            </w:r>
            <w:r w:rsidR="00D77ADE"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MICS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5D296D8" w14:textId="56B3FF69" w:rsidR="00D77ADE" w:rsidRPr="00883F89" w:rsidRDefault="00D77ADE" w:rsidP="00D7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73.6%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4B27A0" w14:textId="09085906" w:rsidR="00D77ADE" w:rsidRPr="00883F89" w:rsidRDefault="0030706F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MICS 2016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50CFAF4" w14:textId="3BE04D12" w:rsidR="00733A7F" w:rsidRPr="00883F89" w:rsidRDefault="00733A7F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77ADE" w:rsidRPr="00883F89" w14:paraId="3557863A" w14:textId="7B3235C6" w:rsidTr="007E56EC">
        <w:trPr>
          <w:cantSplit/>
          <w:trHeight w:val="423"/>
          <w:jc w:val="center"/>
        </w:trPr>
        <w:tc>
          <w:tcPr>
            <w:tcW w:w="1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BCE4" w14:textId="3B0B8D1E" w:rsidR="00D77ADE" w:rsidRPr="00883F89" w:rsidRDefault="00D77ADE" w:rsidP="00D77A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Proxy de </w:t>
            </w:r>
            <w:r w:rsidR="00322630" w:rsidRPr="00883F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u w:val="single"/>
              </w:rPr>
              <w:t>routine :</w:t>
            </w:r>
            <w:r w:rsidRPr="00883F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Nombre d'accouchements dans l'établissement de santé</w:t>
            </w:r>
          </w:p>
        </w:tc>
        <w:tc>
          <w:tcPr>
            <w:tcW w:w="8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4B20" w14:textId="717A65E7" w:rsidR="00D77ADE" w:rsidRPr="00883F89" w:rsidRDefault="00D77ADE" w:rsidP="00D7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SNIS</w:t>
            </w:r>
            <w:r w:rsidRPr="00883F8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2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CB5C" w14:textId="77777777" w:rsidR="00D77ADE" w:rsidRPr="00883F89" w:rsidRDefault="00D77ADE" w:rsidP="00D77A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173 537 </w:t>
            </w:r>
          </w:p>
        </w:tc>
        <w:tc>
          <w:tcPr>
            <w:tcW w:w="84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1F374D" w14:textId="5BE80C96" w:rsidR="00D77ADE" w:rsidRPr="00883F89" w:rsidRDefault="0030706F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SNIS</w:t>
            </w:r>
            <w:r w:rsidRPr="00883F8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(T2, 2019)</w:t>
            </w:r>
          </w:p>
        </w:tc>
        <w:tc>
          <w:tcPr>
            <w:tcW w:w="76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E5115C" w14:textId="77777777" w:rsidR="00CB7BF3" w:rsidRPr="00883F89" w:rsidRDefault="00CB7BF3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FF4014" w:rsidRPr="00883F89" w14:paraId="77FA5D75" w14:textId="5971B8DA" w:rsidTr="007E56EC">
        <w:trPr>
          <w:cantSplit/>
          <w:trHeight w:val="530"/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3802" w14:textId="13A50BE8" w:rsidR="00FF4014" w:rsidRPr="00883F89" w:rsidRDefault="00FF4014" w:rsidP="00FF4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Taux de prévalence de la contraception moderne (</w:t>
            </w:r>
            <w:r w:rsidR="00322630" w:rsidRPr="00883F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désagrégé :</w:t>
            </w:r>
            <w:r w:rsidRPr="00883F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15-19 ans et 15-49 ans)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295DF" w14:textId="4EDF39B3" w:rsidR="00FF4014" w:rsidRPr="00883F89" w:rsidRDefault="002F5E1B" w:rsidP="00FF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EDS/</w:t>
            </w:r>
            <w:r w:rsidR="00FF4014"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4A46" w14:textId="525A3D54" w:rsidR="00FF4014" w:rsidRPr="00883F89" w:rsidRDefault="00FF4014" w:rsidP="00FF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64511A0" w14:textId="3FC70006" w:rsidR="00FF4014" w:rsidRPr="00883F89" w:rsidRDefault="0030706F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MICS 2016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9757E1" w14:textId="42916287" w:rsidR="00CB7BF3" w:rsidRPr="00883F89" w:rsidRDefault="00DF17D8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38% (202</w:t>
            </w:r>
            <w:r w:rsidR="00B6619C" w:rsidRPr="00883F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  <w:r w:rsidRPr="00883F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FF4014" w:rsidRPr="00883F89" w14:paraId="73849425" w14:textId="60D77905" w:rsidTr="007E56EC">
        <w:trPr>
          <w:cantSplit/>
          <w:trHeight w:val="450"/>
          <w:jc w:val="center"/>
        </w:trPr>
        <w:tc>
          <w:tcPr>
            <w:tcW w:w="1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3F46" w14:textId="77EBBBF0" w:rsidR="00FF4014" w:rsidRPr="00883F89" w:rsidRDefault="00FF4014" w:rsidP="00FF4014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Proxy de </w:t>
            </w:r>
            <w:r w:rsidR="00322630" w:rsidRPr="00883F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u w:val="single"/>
              </w:rPr>
              <w:t>routine</w:t>
            </w:r>
            <w:r w:rsidR="00322630" w:rsidRPr="00883F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:</w:t>
            </w:r>
            <w:r w:rsidRPr="00883F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Couples Année Protection (CAP)  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83E50" w14:textId="3AF757EE" w:rsidR="00FF4014" w:rsidRPr="00883F89" w:rsidRDefault="00FF4014" w:rsidP="00FF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Collecte de données PNSME</w:t>
            </w:r>
            <w:r w:rsidR="007266DD"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73C1" w14:textId="4087DBD1" w:rsidR="00FF4014" w:rsidRPr="00883F89" w:rsidRDefault="00FF4014" w:rsidP="00FF4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1 281 000</w:t>
            </w:r>
          </w:p>
        </w:tc>
        <w:tc>
          <w:tcPr>
            <w:tcW w:w="84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5B06623" w14:textId="02596790" w:rsidR="00FF4014" w:rsidRPr="00883F89" w:rsidRDefault="002F5E1B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Collecte de données PNSME (2018)</w:t>
            </w:r>
          </w:p>
        </w:tc>
        <w:tc>
          <w:tcPr>
            <w:tcW w:w="76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FA9E0C" w14:textId="77777777" w:rsidR="00CB7BF3" w:rsidRPr="00883F89" w:rsidRDefault="00CB7BF3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846C5" w:rsidRPr="00883F89" w14:paraId="159F251C" w14:textId="2B7A6BFA" w:rsidTr="007E56EC">
        <w:trPr>
          <w:cantSplit/>
          <w:trHeight w:val="548"/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431E6" w14:textId="77777777" w:rsidR="00B846C5" w:rsidRPr="00883F89" w:rsidRDefault="00B846C5" w:rsidP="00B84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Pourcentage de consultations postnatales de la mère (dans les 2 jours après l’accouchement)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D6B121B" w14:textId="1F4CDE3E" w:rsidR="00B846C5" w:rsidRPr="00883F89" w:rsidRDefault="002F5E1B" w:rsidP="00B8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EDS/</w:t>
            </w:r>
            <w:r w:rsidR="00B846C5"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MICS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FA26F92" w14:textId="3708A629" w:rsidR="00B846C5" w:rsidRPr="00883F89" w:rsidRDefault="00B846C5" w:rsidP="00B8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80.3%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6646856" w14:textId="0BF83187" w:rsidR="00B846C5" w:rsidRPr="00883F89" w:rsidRDefault="002F5E1B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MICS 2016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47B29D1" w14:textId="36ECC75A" w:rsidR="00CB7BF3" w:rsidRPr="00883F89" w:rsidRDefault="00CB7BF3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846C5" w:rsidRPr="00883F89" w14:paraId="147546FC" w14:textId="72880C8E" w:rsidTr="007E56EC">
        <w:trPr>
          <w:cantSplit/>
          <w:trHeight w:val="513"/>
          <w:jc w:val="center"/>
        </w:trPr>
        <w:tc>
          <w:tcPr>
            <w:tcW w:w="1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299B" w14:textId="0A994201" w:rsidR="00D76AF6" w:rsidRPr="00883F89" w:rsidRDefault="00B846C5" w:rsidP="00B846C5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</w:rPr>
              <w:lastRenderedPageBreak/>
              <w:t xml:space="preserve">Proxy de </w:t>
            </w:r>
            <w:r w:rsidR="00322630" w:rsidRPr="00883F8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</w:rPr>
              <w:t>routine</w:t>
            </w:r>
            <w:r w:rsidR="00322630" w:rsidRPr="00883F8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:</w:t>
            </w:r>
            <w:r w:rsidRPr="00883F8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CC53C0" w:rsidRPr="00883F8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Proportion de femmes ayant accouché et vues en </w:t>
            </w:r>
            <w:r w:rsidR="00E7294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consultation </w:t>
            </w:r>
            <w:r w:rsidR="00CC53C0" w:rsidRPr="00883F8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post natale immédiate (dans les 72 heures suivant l'accouchement)</w:t>
            </w:r>
          </w:p>
          <w:p w14:paraId="4D2F124B" w14:textId="77777777" w:rsidR="00403470" w:rsidRPr="00883F89" w:rsidRDefault="00403470" w:rsidP="00B846C5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55F5A66" w14:textId="0F64256B" w:rsidR="00D76AF6" w:rsidRPr="00883F89" w:rsidRDefault="00D76AF6" w:rsidP="00B846C5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BA984" w14:textId="4FD3D9AB" w:rsidR="00B846C5" w:rsidRPr="00883F89" w:rsidRDefault="00B846C5" w:rsidP="00B8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sz w:val="20"/>
                <w:szCs w:val="20"/>
              </w:rPr>
              <w:t>SNIS</w:t>
            </w:r>
          </w:p>
        </w:tc>
        <w:tc>
          <w:tcPr>
            <w:tcW w:w="72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D1BE" w14:textId="001D2F9E" w:rsidR="00B846C5" w:rsidRPr="00883F89" w:rsidRDefault="007266DD" w:rsidP="00B84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ND</w:t>
            </w:r>
            <w:r w:rsidR="00B846C5" w:rsidRPr="00883F8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4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9D0385" w14:textId="1CA23C30" w:rsidR="00B846C5" w:rsidRPr="00883F89" w:rsidRDefault="002F5E1B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sz w:val="20"/>
                <w:szCs w:val="20"/>
              </w:rPr>
              <w:t>SNIS</w:t>
            </w:r>
          </w:p>
        </w:tc>
        <w:tc>
          <w:tcPr>
            <w:tcW w:w="76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913846C" w14:textId="77777777" w:rsidR="00CB7BF3" w:rsidRPr="00883F89" w:rsidRDefault="00CB7BF3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00EEB" w:rsidRPr="00883F89" w14:paraId="1F2DA954" w14:textId="64240634" w:rsidTr="007E56EC">
        <w:trPr>
          <w:cantSplit/>
          <w:trHeight w:val="368"/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E6D1" w14:textId="77777777" w:rsidR="00100EEB" w:rsidRPr="00883F89" w:rsidRDefault="00100EEB" w:rsidP="00100EEB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Pourcentage d’enfants complètement vaccinés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913E5BF" w14:textId="7C3EA75C" w:rsidR="00100EEB" w:rsidRPr="00883F89" w:rsidRDefault="004F60ED" w:rsidP="0010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EDS/</w:t>
            </w:r>
            <w:r w:rsidR="00100EEB"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MICS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B61BA1C" w14:textId="21979231" w:rsidR="00100EEB" w:rsidRPr="00883F89" w:rsidRDefault="00100EEB" w:rsidP="0010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32.5%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FE3DDCC" w14:textId="5293696E" w:rsidR="00100EEB" w:rsidRPr="00883F89" w:rsidRDefault="00995DFF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MICS 2016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64C78DC" w14:textId="77777777" w:rsidR="00CB7BF3" w:rsidRPr="00883F89" w:rsidRDefault="00CB7BF3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0EEB" w:rsidRPr="00883F89" w14:paraId="687D2D58" w14:textId="0EB2AD7F" w:rsidTr="007E56EC">
        <w:trPr>
          <w:cantSplit/>
          <w:trHeight w:val="432"/>
          <w:jc w:val="center"/>
        </w:trPr>
        <w:tc>
          <w:tcPr>
            <w:tcW w:w="1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C636" w14:textId="32068EDD" w:rsidR="00100EEB" w:rsidRPr="00883F89" w:rsidRDefault="00100EEB" w:rsidP="00100EEB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Proxy de </w:t>
            </w:r>
            <w:r w:rsidR="001F4EB3" w:rsidRPr="00883F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u w:val="single"/>
              </w:rPr>
              <w:t>routine :</w:t>
            </w:r>
            <w:r w:rsidRPr="00883F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Pr="00883F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Couverture vaccinale avant 12 mois en DTC-HepB-Hib3</w:t>
            </w:r>
          </w:p>
          <w:p w14:paraId="35C5B762" w14:textId="72F9DC63" w:rsidR="004B23B8" w:rsidRPr="00883F89" w:rsidRDefault="004B23B8" w:rsidP="00100EEB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0975" w14:textId="2973C654" w:rsidR="00100EEB" w:rsidRPr="00883F89" w:rsidRDefault="00100EEB" w:rsidP="00100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DVDMT </w:t>
            </w:r>
          </w:p>
        </w:tc>
        <w:tc>
          <w:tcPr>
            <w:tcW w:w="72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CC0F" w14:textId="5EB28AFD" w:rsidR="00100EEB" w:rsidRPr="00883F89" w:rsidRDefault="00100EEB" w:rsidP="00100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95</w:t>
            </w:r>
            <w:r w:rsidR="00147B10" w:rsidRPr="00883F8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.3</w:t>
            </w:r>
            <w:r w:rsidRPr="00883F8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4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47FD88" w14:textId="649BA8A5" w:rsidR="00100EEB" w:rsidRPr="00883F89" w:rsidRDefault="00995DFF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DVDMT </w:t>
            </w:r>
            <w:r w:rsidRPr="00883F8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(T2, 2019)</w:t>
            </w:r>
          </w:p>
        </w:tc>
        <w:tc>
          <w:tcPr>
            <w:tcW w:w="76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1E3C4C" w14:textId="3769DCB4" w:rsidR="00CB7BF3" w:rsidRPr="00883F89" w:rsidRDefault="007560AE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98% (20</w:t>
            </w:r>
            <w:r w:rsidR="00C31C96" w:rsidRPr="00883F8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2</w:t>
            </w:r>
            <w:r w:rsidR="00F06AD7" w:rsidRPr="00883F8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3</w:t>
            </w:r>
            <w:r w:rsidRPr="00883F8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AF4092" w:rsidRPr="00883F89" w14:paraId="5F98D016" w14:textId="6F8F63C3" w:rsidTr="007E56EC">
        <w:trPr>
          <w:cantSplit/>
          <w:trHeight w:val="323"/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09F7D" w14:textId="77777777" w:rsidR="00AF4092" w:rsidRPr="00883F89" w:rsidRDefault="00AF4092" w:rsidP="00AF4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Couverture en ARV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6968" w14:textId="29608FAC" w:rsidR="00AF4092" w:rsidRPr="00883F89" w:rsidRDefault="00147B10" w:rsidP="00AF4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Donné</w:t>
            </w:r>
            <w:r w:rsidR="00F5229A" w:rsidRPr="00883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es </w:t>
            </w:r>
            <w:r w:rsidR="00AB7CCE" w:rsidRPr="00883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logistiques</w:t>
            </w:r>
            <w:r w:rsidR="00F5229A" w:rsidRPr="00883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F4EB3" w:rsidRPr="00883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PNLS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FA34F" w14:textId="77777777" w:rsidR="00AF4092" w:rsidRPr="00883F89" w:rsidRDefault="00AF4092" w:rsidP="00AF4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59%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E93E9" w14:textId="78747F50" w:rsidR="00AF4092" w:rsidRPr="00883F89" w:rsidRDefault="00863C79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Données </w:t>
            </w:r>
            <w:r w:rsidR="00AB7CCE" w:rsidRPr="00883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logistiques</w:t>
            </w:r>
            <w:r w:rsidRPr="00883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PNLS </w:t>
            </w:r>
            <w:r w:rsidRPr="00883F8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(T2, 2019)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F1366" w14:textId="2C244254" w:rsidR="00CB7BF3" w:rsidRPr="00883F89" w:rsidRDefault="00147B0F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92% (2023)</w:t>
            </w:r>
          </w:p>
        </w:tc>
      </w:tr>
      <w:tr w:rsidR="004E1EB5" w:rsidRPr="00883F89" w14:paraId="45F92634" w14:textId="77777777" w:rsidTr="004E1EB5">
        <w:trPr>
          <w:cantSplit/>
          <w:trHeight w:val="32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FEF2F5E" w14:textId="776D7E4E" w:rsidR="004E1EB5" w:rsidRPr="00883F89" w:rsidRDefault="004E1EB5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Indicateurs d’extrant</w:t>
            </w:r>
          </w:p>
        </w:tc>
      </w:tr>
      <w:tr w:rsidR="002A3992" w:rsidRPr="00883F89" w14:paraId="284C287E" w14:textId="63B840D8" w:rsidTr="007E56EC">
        <w:trPr>
          <w:cantSplit/>
          <w:trHeight w:val="512"/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0A5A" w14:textId="71D6AA0C" w:rsidR="002A3992" w:rsidRPr="00883F89" w:rsidRDefault="002A3992" w:rsidP="002A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Pourcentage de nourrissons de moins de 6 mois qui sont exclusivement allaités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D399" w14:textId="5346863F" w:rsidR="002A3992" w:rsidRPr="00883F89" w:rsidRDefault="002A3992" w:rsidP="002A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EDS/MICS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5CB3" w14:textId="695B2F9F" w:rsidR="002A3992" w:rsidRPr="00883F89" w:rsidRDefault="002A3992" w:rsidP="002A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23.5%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257E" w14:textId="6B61C223" w:rsidR="002A3992" w:rsidRPr="00883F89" w:rsidRDefault="00CB7BF3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63C79"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MICS 2016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3C92B" w14:textId="7823F781" w:rsidR="00CB7BF3" w:rsidRPr="00883F89" w:rsidRDefault="006D1A2D" w:rsidP="00E95A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80% (202</w:t>
            </w:r>
            <w:r w:rsidR="007E0A20" w:rsidRPr="00883F8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  <w:r w:rsidRPr="00883F8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2A3992" w:rsidRPr="00883F89" w14:paraId="37136730" w14:textId="2A2BC319" w:rsidTr="007E56EC">
        <w:trPr>
          <w:cantSplit/>
          <w:trHeight w:val="530"/>
          <w:jc w:val="center"/>
        </w:trPr>
        <w:tc>
          <w:tcPr>
            <w:tcW w:w="17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622E80" w14:textId="3387E088" w:rsidR="002A3992" w:rsidRPr="00883F89" w:rsidRDefault="002A3992" w:rsidP="002A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Nombre de ménages ayants adopté au moins 3 pratiques </w:t>
            </w:r>
            <w:r w:rsidR="00095808"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familiales</w:t>
            </w:r>
            <w:r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essentielles 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9EAB15" w14:textId="325DBEC1" w:rsidR="002A3992" w:rsidRPr="00883F89" w:rsidRDefault="002A3992" w:rsidP="002A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SNIS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162283" w14:textId="0920AD74" w:rsidR="002A3992" w:rsidRPr="00883F89" w:rsidRDefault="00C27E23" w:rsidP="002A3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146747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36EC48" w14:textId="4FA56322" w:rsidR="002A3992" w:rsidRPr="00883F89" w:rsidRDefault="00863C79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SNIS</w:t>
            </w:r>
            <w:r w:rsidR="00CF632C"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(T2, 2019)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C6174" w14:textId="77777777" w:rsidR="00CB7BF3" w:rsidRPr="00883F89" w:rsidRDefault="00CB7BF3" w:rsidP="00E95A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068E" w:rsidRPr="00883F89" w14:paraId="401CFAC2" w14:textId="5B8228D1" w:rsidTr="007E56EC">
        <w:trPr>
          <w:cantSplit/>
          <w:trHeight w:val="512"/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091C" w14:textId="77777777" w:rsidR="00E57F66" w:rsidRPr="00CA4DE1" w:rsidRDefault="005F74A5" w:rsidP="005F06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A4DE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  <w:t>Pourcentage des paiements directs des ménages dans les dépenses totales de santé</w:t>
            </w:r>
          </w:p>
          <w:p w14:paraId="34904D62" w14:textId="55327A85" w:rsidR="005F068E" w:rsidRPr="00E57F66" w:rsidRDefault="005F068E" w:rsidP="005F06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867D" w14:textId="64F83FBB" w:rsidR="005F068E" w:rsidRPr="00B378A4" w:rsidRDefault="005F068E" w:rsidP="005F0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Comptes</w:t>
            </w:r>
            <w:r w:rsidR="00537A1E" w:rsidRPr="00C90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0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 la </w:t>
            </w:r>
            <w:r w:rsidRPr="00B37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santé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33BD" w14:textId="73832FD5" w:rsidR="005F068E" w:rsidRPr="003802F8" w:rsidRDefault="003802F8" w:rsidP="005F068E">
            <w:pPr>
              <w:spacing w:after="0" w:line="240" w:lineRule="auto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3802F8">
              <w:rPr>
                <w:rFonts w:ascii="Calibri" w:eastAsia="Calibri" w:hAnsi="Calibri" w:cs="Times New Roman"/>
                <w:color w:val="201F1E"/>
                <w:sz w:val="20"/>
                <w:szCs w:val="20"/>
                <w:lang w:val="fr-CA" w:eastAsia="fr-CA"/>
              </w:rPr>
              <w:t>39.43%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BAB2" w14:textId="0ACEF1D9" w:rsidR="005F068E" w:rsidRPr="00883F89" w:rsidRDefault="00863C79" w:rsidP="00E95A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Compte</w:t>
            </w:r>
            <w:r w:rsidR="00537A1E"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la santé (201</w:t>
            </w:r>
            <w:r w:rsidR="00380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CF532" w14:textId="77777777" w:rsidR="00CB7BF3" w:rsidRPr="00883F89" w:rsidRDefault="00CB7BF3" w:rsidP="00E9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E03" w:rsidRPr="00883F89" w14:paraId="708EE991" w14:textId="77777777" w:rsidTr="007E56EC">
        <w:trPr>
          <w:cantSplit/>
          <w:trHeight w:val="512"/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3C92" w14:textId="77777777" w:rsidR="00D6629D" w:rsidRPr="00D6629D" w:rsidRDefault="00D6629D" w:rsidP="00D6629D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D6629D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Nombre d’indigents total enrôlés dans la CMU.</w:t>
            </w:r>
          </w:p>
          <w:p w14:paraId="2ECB1474" w14:textId="0FFBBDBA" w:rsidR="009D4E03" w:rsidRPr="00FD1EE7" w:rsidRDefault="009D4E03" w:rsidP="005F06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6E86" w14:textId="7757952E" w:rsidR="009D4E03" w:rsidRPr="00C903AB" w:rsidRDefault="00D6629D" w:rsidP="005F0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29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Base de données de la CNAM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DE61" w14:textId="3E277BE4" w:rsidR="009D4E03" w:rsidRPr="006332D4" w:rsidRDefault="00F95C6C" w:rsidP="005F068E">
            <w:pPr>
              <w:spacing w:after="0" w:line="240" w:lineRule="auto"/>
              <w:rPr>
                <w:rFonts w:ascii="Calibri" w:eastAsia="Calibri" w:hAnsi="Calibri" w:cs="Times New Roman"/>
                <w:color w:val="7030A0"/>
                <w:sz w:val="20"/>
                <w:szCs w:val="20"/>
                <w:lang w:val="fr-CA" w:eastAsia="fr-CA"/>
              </w:rPr>
            </w:pPr>
            <w:r w:rsidRPr="006332D4">
              <w:rPr>
                <w:rFonts w:ascii="Calibri" w:eastAsia="Calibri" w:hAnsi="Calibri" w:cs="Times New Roman"/>
                <w:color w:val="7030A0"/>
                <w:sz w:val="20"/>
                <w:szCs w:val="20"/>
                <w:lang w:eastAsia="fr-CA"/>
              </w:rPr>
              <w:t>190 522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DE98" w14:textId="676C4AF6" w:rsidR="009D4E03" w:rsidRPr="006332D4" w:rsidRDefault="00EE3214" w:rsidP="00E95A7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332D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Base de données de la CNAM (2019)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33F44" w14:textId="77777777" w:rsidR="009D4E03" w:rsidRPr="00883F89" w:rsidRDefault="009D4E03" w:rsidP="00E9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68E" w:rsidRPr="00883F89" w14:paraId="1D55E534" w14:textId="11AF338A" w:rsidTr="007E56EC">
        <w:trPr>
          <w:cantSplit/>
          <w:trHeight w:val="458"/>
          <w:jc w:val="center"/>
        </w:trPr>
        <w:tc>
          <w:tcPr>
            <w:tcW w:w="17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4D8580" w14:textId="77777777" w:rsidR="005F068E" w:rsidRDefault="008253EE" w:rsidP="005F068E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8253EE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Nombre d’indigents enrôlés dans la CMU qui disposent d’une carte.</w:t>
            </w:r>
          </w:p>
          <w:p w14:paraId="38657E85" w14:textId="0A9A2A18" w:rsidR="00FE5C44" w:rsidRPr="00FE5C44" w:rsidRDefault="00FE5C44" w:rsidP="005F068E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B38949" w14:textId="58A33009" w:rsidR="005F068E" w:rsidRPr="00C903AB" w:rsidRDefault="005F068E" w:rsidP="005F0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3E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Base de données de la CNAM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A68E9D" w14:textId="19C8FB65" w:rsidR="005F068E" w:rsidRPr="006332D4" w:rsidRDefault="00F95C6C" w:rsidP="005F068E">
            <w:pPr>
              <w:spacing w:after="0" w:line="240" w:lineRule="auto"/>
              <w:rPr>
                <w:rFonts w:cstheme="minorHAnsi"/>
                <w:bCs/>
                <w:color w:val="7030A0"/>
                <w:sz w:val="20"/>
                <w:szCs w:val="20"/>
              </w:rPr>
            </w:pPr>
            <w:r w:rsidRPr="006332D4">
              <w:rPr>
                <w:rFonts w:cstheme="minorHAnsi"/>
                <w:bCs/>
                <w:color w:val="7030A0"/>
                <w:sz w:val="20"/>
                <w:szCs w:val="20"/>
              </w:rPr>
              <w:t>72,</w:t>
            </w:r>
            <w:r w:rsidR="006332D4" w:rsidRPr="006332D4">
              <w:rPr>
                <w:rFonts w:cstheme="minorHAnsi"/>
                <w:bCs/>
                <w:color w:val="7030A0"/>
                <w:sz w:val="20"/>
                <w:szCs w:val="20"/>
              </w:rPr>
              <w:t>325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B9CF63" w14:textId="01460CCF" w:rsidR="005F068E" w:rsidRPr="00FE5C44" w:rsidRDefault="006332D4" w:rsidP="00E9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D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Base de données de la CNAM (2019)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812CC" w14:textId="77777777" w:rsidR="00CB7BF3" w:rsidRPr="00883F89" w:rsidRDefault="00CB7BF3" w:rsidP="00E9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70E" w:rsidRPr="00883F89" w14:paraId="5986E2EF" w14:textId="77777777" w:rsidTr="0045170E">
        <w:trPr>
          <w:cantSplit/>
          <w:trHeight w:val="458"/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157F40" w14:textId="77777777" w:rsidR="0045170E" w:rsidRPr="0045170E" w:rsidRDefault="0045170E" w:rsidP="0045170E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45170E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Nombre d’indigents qui ont bénéficié de services inclus dans le panier de soins de la CMU.</w:t>
            </w:r>
          </w:p>
          <w:p w14:paraId="0E1D5854" w14:textId="77777777" w:rsidR="0045170E" w:rsidRPr="00C6644F" w:rsidRDefault="0045170E" w:rsidP="005F06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D23EEC" w14:textId="78D27227" w:rsidR="0045170E" w:rsidRDefault="0045170E" w:rsidP="005F0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3E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Base de données de la CNAM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C4A440" w14:textId="41D35AC4" w:rsidR="0045170E" w:rsidRDefault="00577EDA" w:rsidP="005F06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77EDA"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9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DDEDCA" w14:textId="7108FFB1" w:rsidR="0045170E" w:rsidRPr="00883F89" w:rsidRDefault="00577EDA" w:rsidP="00E9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2D4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Base de données de la CNAM (2019)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F81D3F" w14:textId="77777777" w:rsidR="0045170E" w:rsidRPr="00883F89" w:rsidRDefault="0045170E" w:rsidP="00E9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B6C" w:rsidRPr="00883F89" w14:paraId="76C1103F" w14:textId="7B91A687" w:rsidTr="007E56EC">
        <w:trPr>
          <w:cantSplit/>
          <w:trHeight w:val="458"/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DA75" w14:textId="730DF310" w:rsidR="00A92B6C" w:rsidRPr="00883F89" w:rsidRDefault="00A92B6C" w:rsidP="00A92B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Couverture en CPN1 au premier trimestre de la grossesse 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8237" w14:textId="3DB92D47" w:rsidR="00A92B6C" w:rsidRPr="00883F89" w:rsidRDefault="00CB7BF3" w:rsidP="00A92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SNIS 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24EF" w14:textId="5A0CF1E2" w:rsidR="00A92B6C" w:rsidRPr="00883F89" w:rsidRDefault="00643FC6" w:rsidP="00A92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26.3%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E46D" w14:textId="77EF9878" w:rsidR="00A92B6C" w:rsidRPr="00883F89" w:rsidRDefault="00863C79" w:rsidP="00E95A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SNIS (T2, 2019)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551EB" w14:textId="77777777" w:rsidR="00CB7BF3" w:rsidRPr="00883F89" w:rsidRDefault="00CB7BF3" w:rsidP="00E9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B6C" w:rsidRPr="00883F89" w14:paraId="77188996" w14:textId="4ADF5F84" w:rsidTr="007E56EC">
        <w:trPr>
          <w:cantSplit/>
          <w:trHeight w:val="458"/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72B9" w14:textId="4B002F46" w:rsidR="00A92B6C" w:rsidRPr="00883F89" w:rsidRDefault="00A92B6C" w:rsidP="00A92B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Nombre de séances de travail avec la communauté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FBD9" w14:textId="61225D01" w:rsidR="00A92B6C" w:rsidRPr="00883F89" w:rsidRDefault="00A92B6C" w:rsidP="00A92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sz w:val="20"/>
                <w:szCs w:val="20"/>
              </w:rPr>
              <w:t>SNIS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891B" w14:textId="7E56E1A0" w:rsidR="00A92B6C" w:rsidRPr="00883F89" w:rsidRDefault="00A92B6C" w:rsidP="00A92B6C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790D" w14:textId="47357B24" w:rsidR="00A92B6C" w:rsidRPr="00883F89" w:rsidRDefault="00863C79" w:rsidP="00E9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sz w:val="20"/>
                <w:szCs w:val="20"/>
              </w:rPr>
              <w:t>SNIS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5A442" w14:textId="77777777" w:rsidR="00CB7BF3" w:rsidRPr="00883F89" w:rsidRDefault="00CB7BF3" w:rsidP="00E9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421F50" w14:textId="2AD6B41D" w:rsidR="00B47294" w:rsidRPr="00883F89" w:rsidRDefault="00B47294" w:rsidP="001B3598">
      <w:pPr>
        <w:pStyle w:val="Paragraphedeliste"/>
        <w:rPr>
          <w:b/>
        </w:rPr>
      </w:pPr>
    </w:p>
    <w:p w14:paraId="09C88C90" w14:textId="7B50402F" w:rsidR="00B47294" w:rsidRPr="00883F89" w:rsidRDefault="007D2C14" w:rsidP="00EF0286">
      <w:pPr>
        <w:pStyle w:val="NormalWeb"/>
        <w:spacing w:after="0"/>
        <w:rPr>
          <w:b/>
          <w:sz w:val="22"/>
          <w:szCs w:val="22"/>
        </w:rPr>
      </w:pPr>
      <w:r w:rsidRPr="00883F89">
        <w:rPr>
          <w:b/>
          <w:sz w:val="22"/>
          <w:szCs w:val="22"/>
          <w:u w:val="single"/>
        </w:rPr>
        <w:t>Effet 2 :</w:t>
      </w:r>
      <w:r w:rsidRPr="00883F89">
        <w:rPr>
          <w:b/>
          <w:sz w:val="22"/>
          <w:szCs w:val="22"/>
        </w:rPr>
        <w:t xml:space="preserve"> </w:t>
      </w:r>
      <w:r w:rsidR="00AE7FBF" w:rsidRPr="00883F89">
        <w:rPr>
          <w:b/>
          <w:sz w:val="22"/>
          <w:szCs w:val="22"/>
        </w:rPr>
        <w:t>L’offre de services de santé primaire de qualité dans le secteur public et le secteur privé de la santé augmente</w:t>
      </w:r>
    </w:p>
    <w:p w14:paraId="11BF6731" w14:textId="77777777" w:rsidR="003A2BFE" w:rsidRPr="00883F89" w:rsidRDefault="003A2BFE" w:rsidP="00EF0286">
      <w:pPr>
        <w:pStyle w:val="NormalWeb"/>
        <w:spacing w:after="0"/>
        <w:rPr>
          <w:b/>
          <w:sz w:val="22"/>
          <w:szCs w:val="22"/>
        </w:rPr>
      </w:pPr>
    </w:p>
    <w:tbl>
      <w:tblPr>
        <w:tblW w:w="5968" w:type="pct"/>
        <w:tblInd w:w="-905" w:type="dxa"/>
        <w:tblLayout w:type="fixed"/>
        <w:tblLook w:val="04A0" w:firstRow="1" w:lastRow="0" w:firstColumn="1" w:lastColumn="0" w:noHBand="0" w:noVBand="1"/>
      </w:tblPr>
      <w:tblGrid>
        <w:gridCol w:w="3964"/>
        <w:gridCol w:w="1440"/>
        <w:gridCol w:w="542"/>
        <w:gridCol w:w="1614"/>
        <w:gridCol w:w="1893"/>
        <w:gridCol w:w="1707"/>
      </w:tblGrid>
      <w:tr w:rsidR="00063A65" w:rsidRPr="00883F89" w14:paraId="2C5FB21E" w14:textId="09B44444" w:rsidTr="00000D0A">
        <w:trPr>
          <w:cantSplit/>
          <w:trHeight w:val="512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EB2AAF5" w14:textId="19B98AB7" w:rsidR="00B61CB7" w:rsidRPr="00883F89" w:rsidRDefault="00B61CB7" w:rsidP="00B61CB7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Nom de </w:t>
            </w:r>
            <w:r w:rsidRPr="00883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l’indicateur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 w:themeFill="accent3" w:themeFillTint="66"/>
          </w:tcPr>
          <w:p w14:paraId="57557490" w14:textId="12723438" w:rsidR="00B61CB7" w:rsidRPr="00883F89" w:rsidRDefault="00B61CB7" w:rsidP="00B61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6A7BF38" w14:textId="5D4B1D68" w:rsidR="00B61CB7" w:rsidRPr="00883F89" w:rsidRDefault="005044C8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Situation de base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 w:themeFill="accent3" w:themeFillTint="66"/>
          </w:tcPr>
          <w:p w14:paraId="345D8441" w14:textId="1E4AFCB0" w:rsidR="005044C8" w:rsidRPr="00883F89" w:rsidRDefault="005044C8" w:rsidP="00A0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Cibles</w:t>
            </w:r>
          </w:p>
        </w:tc>
      </w:tr>
      <w:tr w:rsidR="00F2353A" w:rsidRPr="00883F89" w14:paraId="0376C00B" w14:textId="18E95449" w:rsidTr="00000D0A">
        <w:trPr>
          <w:cantSplit/>
          <w:trHeight w:val="512"/>
        </w:trPr>
        <w:tc>
          <w:tcPr>
            <w:tcW w:w="242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14:paraId="24FCF215" w14:textId="77777777" w:rsidR="005044C8" w:rsidRPr="00883F89" w:rsidRDefault="005044C8" w:rsidP="00A0702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6DFDAF0" w14:textId="77777777" w:rsidR="005044C8" w:rsidRPr="00883F89" w:rsidRDefault="005044C8" w:rsidP="00A0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4DEE25C" w14:textId="2D46B76D" w:rsidR="005044C8" w:rsidRPr="00883F89" w:rsidRDefault="005044C8" w:rsidP="00A0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Valeur de base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14:paraId="159EAD9B" w14:textId="6C63893E" w:rsidR="005044C8" w:rsidRPr="00883F89" w:rsidRDefault="005044C8" w:rsidP="00A0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Source 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A533F39" w14:textId="77777777" w:rsidR="005044C8" w:rsidRPr="00883F89" w:rsidRDefault="005044C8" w:rsidP="00A0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C6D4D" w:rsidRPr="00883F89" w14:paraId="01700A50" w14:textId="77777777" w:rsidTr="00142152">
        <w:trPr>
          <w:cantSplit/>
          <w:trHeight w:val="269"/>
        </w:trPr>
        <w:tc>
          <w:tcPr>
            <w:tcW w:w="242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5E0FE64C" w14:textId="16A3FC1E" w:rsidR="004C6D4D" w:rsidRPr="00883F89" w:rsidRDefault="004C6D4D" w:rsidP="00A0702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Indicateurs d’effet</w:t>
            </w:r>
          </w:p>
        </w:tc>
        <w:tc>
          <w:tcPr>
            <w:tcW w:w="24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302D078" w14:textId="77777777" w:rsidR="004C6D4D" w:rsidRPr="00883F89" w:rsidRDefault="004C6D4D" w:rsidP="00A0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E0463C9" w14:textId="77777777" w:rsidR="004C6D4D" w:rsidRPr="00883F89" w:rsidRDefault="004C6D4D" w:rsidP="00A07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4974E7D7" w14:textId="77777777" w:rsidR="004C6D4D" w:rsidRPr="00883F89" w:rsidRDefault="004C6D4D" w:rsidP="00A0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4EF0A6F" w14:textId="77777777" w:rsidR="004C6D4D" w:rsidRPr="00883F89" w:rsidRDefault="004C6D4D" w:rsidP="00A07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3A65" w:rsidRPr="00883F89" w14:paraId="47A74788" w14:textId="41DD99E5" w:rsidTr="00000D0A">
        <w:trPr>
          <w:cantSplit/>
          <w:trHeight w:val="512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65AA" w14:textId="607FB74A" w:rsidR="00BB1B1E" w:rsidRPr="00883F89" w:rsidRDefault="00BB1B1E" w:rsidP="00BB1B1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Pource</w:t>
            </w:r>
            <w:r w:rsidR="00D93714" w:rsidRPr="00883F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  <w:r w:rsidRPr="00883F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tage des établissements sanitaires publics et privé</w:t>
            </w:r>
            <w:r w:rsidR="00AB7C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</w:t>
            </w:r>
            <w:r w:rsidRPr="00883F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disposant de tout l'équipement essentiel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13CF" w14:textId="4B7D6F1E" w:rsidR="00BB1B1E" w:rsidRPr="00883F89" w:rsidRDefault="00BB1B1E" w:rsidP="00BB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SARA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B927" w14:textId="77777777" w:rsidR="00BB1B1E" w:rsidRPr="00883F89" w:rsidRDefault="00BB1B1E" w:rsidP="00BB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2D58E" w14:textId="71925F4F" w:rsidR="00BB1B1E" w:rsidRPr="00883F89" w:rsidRDefault="00A0702F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SARA 2016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73B38" w14:textId="77777777" w:rsidR="00A0702F" w:rsidRPr="00883F89" w:rsidRDefault="00A0702F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A65" w:rsidRPr="00883F89" w14:paraId="38F0427A" w14:textId="531E2992" w:rsidTr="00E222D2">
        <w:trPr>
          <w:cantSplit/>
          <w:trHeight w:val="998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006EB" w14:textId="1EA781AE" w:rsidR="00BB1B1E" w:rsidRPr="00883F89" w:rsidRDefault="00BB1B1E" w:rsidP="00BB1B1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Disponibilité moyenne des médicaments essentiels dans les établissements sanitaires publics et privé</w:t>
            </w:r>
            <w:r w:rsidR="00AB7C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5ADC" w14:textId="1D2C3A38" w:rsidR="00BB1B1E" w:rsidRPr="00883F89" w:rsidRDefault="00BB1B1E" w:rsidP="00BB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SARA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7C92" w14:textId="77777777" w:rsidR="00BB1B1E" w:rsidRPr="00883F89" w:rsidRDefault="00BB1B1E" w:rsidP="00BB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FADED" w14:textId="3C70EE0D" w:rsidR="00BB1B1E" w:rsidRPr="00883F89" w:rsidRDefault="00A0702F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SARA 2016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27365" w14:textId="77777777" w:rsidR="00A0702F" w:rsidRPr="00883F89" w:rsidRDefault="00A0702F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A65" w:rsidRPr="00883F89" w14:paraId="3F01BAAD" w14:textId="4571AE1A" w:rsidTr="003A2BFE">
        <w:trPr>
          <w:cantSplit/>
          <w:trHeight w:val="890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12F1" w14:textId="0D263667" w:rsidR="00BB1B1E" w:rsidRPr="00883F89" w:rsidRDefault="00BB1B1E" w:rsidP="00BB1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Densité des prestataires de santé pour 10 000 habitants (désagrégé par </w:t>
            </w:r>
            <w:r w:rsidR="001F4EB3" w:rsidRPr="00883F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catégorie :</w:t>
            </w:r>
            <w:r w:rsidRPr="00883F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médecins, infirmiers et sages- femmes)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9279" w14:textId="6FB9B7AB" w:rsidR="00BB1B1E" w:rsidRPr="00883F89" w:rsidRDefault="00BB1B1E" w:rsidP="00BB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SARA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0D97" w14:textId="47BAD6EF" w:rsidR="00BB1B1E" w:rsidRPr="00883F89" w:rsidRDefault="00AB7CCE" w:rsidP="00BB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Global :</w:t>
            </w:r>
            <w:r w:rsidR="00BB1B1E"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</w:t>
            </w:r>
            <w:r w:rsidR="00BB1B1E"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02756" w14:textId="058D9E1F" w:rsidR="00BB1B1E" w:rsidRPr="00883F89" w:rsidRDefault="00A0702F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SARA 2016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32530" w14:textId="4F2BC565" w:rsidR="00800655" w:rsidRPr="00883F89" w:rsidRDefault="00800655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23</w:t>
            </w:r>
            <w:r w:rsidR="00D51F55" w:rsidRPr="00883F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(202</w:t>
            </w:r>
            <w:r w:rsidR="00426B8E" w:rsidRPr="00883F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  <w:r w:rsidR="00D51F55" w:rsidRPr="00883F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7541FB" w:rsidRPr="00883F89" w14:paraId="03E4286F" w14:textId="77777777" w:rsidTr="003A2BFE">
        <w:trPr>
          <w:cantSplit/>
          <w:trHeight w:val="1276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BEFD" w14:textId="77777777" w:rsidR="007541FB" w:rsidRPr="00883F89" w:rsidRDefault="007541FB" w:rsidP="0075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Nombre de districts sanitaires qui mènent des activités communautaires (et qui rapportent les données dans le DHIS2)</w:t>
            </w:r>
          </w:p>
          <w:p w14:paraId="34479C6C" w14:textId="77777777" w:rsidR="00403470" w:rsidRPr="00883F89" w:rsidRDefault="00403470" w:rsidP="0075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2462C5A" w14:textId="77777777" w:rsidR="00403470" w:rsidRPr="00883F89" w:rsidRDefault="00403470" w:rsidP="0075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5EEBBC1" w14:textId="77777777" w:rsidR="00403470" w:rsidRPr="00883F89" w:rsidRDefault="00403470" w:rsidP="0075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E7B3EA6" w14:textId="29204473" w:rsidR="00403470" w:rsidRPr="00883F89" w:rsidRDefault="00403470" w:rsidP="0075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1774" w14:textId="3E612B75" w:rsidR="007541FB" w:rsidRPr="00883F89" w:rsidRDefault="007541FB" w:rsidP="0075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sz w:val="20"/>
                <w:szCs w:val="20"/>
              </w:rPr>
              <w:t>SNIS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3C357" w14:textId="3E0BEF47" w:rsidR="007541FB" w:rsidRPr="00883F89" w:rsidRDefault="0020245F" w:rsidP="0075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9A05F" w14:textId="45EFA52A" w:rsidR="007541FB" w:rsidRPr="00883F89" w:rsidRDefault="007541FB" w:rsidP="0075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sz w:val="20"/>
                <w:szCs w:val="20"/>
              </w:rPr>
              <w:t>SNIS (2019)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00F6E" w14:textId="77777777" w:rsidR="007541FB" w:rsidRPr="00883F89" w:rsidRDefault="007541FB" w:rsidP="0075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387CBA44" w14:textId="77777777" w:rsidR="007541FB" w:rsidRPr="00883F89" w:rsidRDefault="007541FB" w:rsidP="007541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028B3C" w14:textId="77777777" w:rsidR="007541FB" w:rsidRPr="00883F89" w:rsidRDefault="007541FB" w:rsidP="007541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8A2618" w14:textId="77777777" w:rsidR="007541FB" w:rsidRPr="00883F89" w:rsidRDefault="007541FB" w:rsidP="00754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063A65" w:rsidRPr="00883F89" w14:paraId="07A2B8BB" w14:textId="19A68158" w:rsidTr="00E222D2">
        <w:trPr>
          <w:cantSplit/>
          <w:trHeight w:val="620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5DE4B2" w14:textId="008E4813" w:rsidR="00BB1B1E" w:rsidRPr="00883F89" w:rsidRDefault="00BB1B1E" w:rsidP="00BB1B1E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Taux de césarienne 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1B5ABA" w14:textId="77777777" w:rsidR="00BB1B1E" w:rsidRPr="00883F89" w:rsidRDefault="00BB1B1E" w:rsidP="00BB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EDS/MICS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747826" w14:textId="57AC45F6" w:rsidR="00BB1B1E" w:rsidRPr="00883F89" w:rsidRDefault="00BB1B1E" w:rsidP="00BB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3.3%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3216D4" w14:textId="33B8F4E4" w:rsidR="00BB1B1E" w:rsidRPr="00883F89" w:rsidRDefault="005044C8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MICS 2016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926D66" w14:textId="77777777" w:rsidR="004C3957" w:rsidRPr="00883F89" w:rsidRDefault="004C3957" w:rsidP="004C3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CB9F9C" w14:textId="5F1C3E64" w:rsidR="00A0702F" w:rsidRPr="00883F89" w:rsidRDefault="00A0702F" w:rsidP="004C3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A65" w:rsidRPr="00883F89" w14:paraId="468B38F2" w14:textId="0A2B5BA9" w:rsidTr="00E222D2">
        <w:trPr>
          <w:cantSplit/>
          <w:trHeight w:val="387"/>
        </w:trPr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9F20" w14:textId="776DA99F" w:rsidR="00BB1B1E" w:rsidRPr="00883F89" w:rsidRDefault="00BB1B1E" w:rsidP="00BB1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Proxy de </w:t>
            </w:r>
            <w:r w:rsidR="001F4EB3" w:rsidRPr="00883F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u w:val="single"/>
              </w:rPr>
              <w:t>routine :</w:t>
            </w:r>
            <w:r w:rsidRPr="00883F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Nombre de césarienne</w:t>
            </w:r>
            <w:r w:rsidR="00AB7C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8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4326" w14:textId="455622C3" w:rsidR="00BB1B1E" w:rsidRPr="00883F89" w:rsidRDefault="00BB1B1E" w:rsidP="00BB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SNIS</w:t>
            </w:r>
            <w:r w:rsidR="005B682B"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EF4E" w14:textId="76F81FD1" w:rsidR="00E24D83" w:rsidRPr="00883F89" w:rsidRDefault="00BB1B1E" w:rsidP="00B87F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32 918 </w:t>
            </w:r>
            <w:r w:rsidRPr="00883F8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8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6FC1" w14:textId="5F9583F7" w:rsidR="00BB1B1E" w:rsidRPr="00883F89" w:rsidRDefault="00EC7899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SNIS (2018)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79A47E" w14:textId="77777777" w:rsidR="00A0702F" w:rsidRPr="00883F89" w:rsidRDefault="00A0702F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2AF354E9" w14:textId="6FF393CA" w:rsidR="00A0702F" w:rsidRPr="00883F89" w:rsidRDefault="00A0702F" w:rsidP="004C3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A65" w:rsidRPr="00883F89" w14:paraId="0C2086B0" w14:textId="1B3A347C" w:rsidTr="00726AA2">
        <w:trPr>
          <w:cantSplit/>
          <w:trHeight w:val="728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833D" w14:textId="77777777" w:rsidR="00BB1B1E" w:rsidRPr="00883F89" w:rsidRDefault="00BB1B1E" w:rsidP="00BB1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Nombre de femmes enceintes qui ont reçu un test VIH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A782" w14:textId="25735CEE" w:rsidR="00BB1B1E" w:rsidRPr="00883F89" w:rsidRDefault="00A0702F" w:rsidP="00BB1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SNIS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5F2BB" w14:textId="61928D1E" w:rsidR="00BB1B1E" w:rsidRPr="00883F89" w:rsidRDefault="00BB1B1E" w:rsidP="00BB1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254</w:t>
            </w:r>
            <w:r w:rsidR="00004DD8" w:rsidRPr="00883F8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83F8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712 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DB4DE" w14:textId="4914C2E3" w:rsidR="00BB1B1E" w:rsidRPr="00883F89" w:rsidRDefault="00EC7899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SNIS </w:t>
            </w:r>
            <w:r w:rsidRPr="00883F8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(T2, 2019)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B9B13" w14:textId="77777777" w:rsidR="00A0702F" w:rsidRPr="00883F89" w:rsidRDefault="00A0702F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2577" w:rsidRPr="00883F89" w14:paraId="3B9D317D" w14:textId="6887BD4C" w:rsidTr="00726AA2">
        <w:trPr>
          <w:cantSplit/>
          <w:trHeight w:val="521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BBFD7" w14:textId="4A8C3B84" w:rsidR="00A72577" w:rsidRPr="00883F89" w:rsidRDefault="00A72577" w:rsidP="00A72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Besoins satisfaits en SONU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73E5" w14:textId="4B1C445D" w:rsidR="00A72577" w:rsidRPr="00883F89" w:rsidRDefault="00EC7899" w:rsidP="00A7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SNIS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79FB66" w14:textId="1571BB63" w:rsidR="00A72577" w:rsidRPr="00883F89" w:rsidRDefault="00313910" w:rsidP="00A7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</w:t>
            </w:r>
            <w:r w:rsidR="00A72577"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3E69" w14:textId="5C5F3DC4" w:rsidR="00A72577" w:rsidRPr="00883F89" w:rsidRDefault="00A72577" w:rsidP="00A7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E9BC" w14:textId="472E7585" w:rsidR="00A0702F" w:rsidRPr="00883F89" w:rsidRDefault="00A0702F" w:rsidP="00A72577">
            <w:pPr>
              <w:spacing w:after="0" w:line="240" w:lineRule="auto"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</w:p>
        </w:tc>
      </w:tr>
      <w:tr w:rsidR="00142152" w:rsidRPr="00883F89" w14:paraId="2F686E59" w14:textId="77777777" w:rsidTr="00142152">
        <w:trPr>
          <w:cantSplit/>
          <w:trHeight w:val="3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CB60EF4" w14:textId="425DF97B" w:rsidR="00142152" w:rsidRPr="00AB7CCE" w:rsidRDefault="00142152" w:rsidP="00A725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B7C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Indicateurs d’extrant</w:t>
            </w:r>
          </w:p>
        </w:tc>
      </w:tr>
      <w:tr w:rsidR="00B36A90" w:rsidRPr="00883F89" w14:paraId="34566525" w14:textId="1F862379" w:rsidTr="00000D0A">
        <w:trPr>
          <w:cantSplit/>
          <w:trHeight w:val="638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10C0C" w14:textId="383F6E0D" w:rsidR="00BB27C9" w:rsidRPr="00883F89" w:rsidRDefault="00BB27C9" w:rsidP="00BB2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Pourcentage d'enfants âgés de 0-59 mois avec diarrhée traités avec sels de réhydratation orale (SRO) + Zinc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D8165B" w14:textId="21CDF7C8" w:rsidR="00BB27C9" w:rsidRPr="00883F89" w:rsidRDefault="00EC7899" w:rsidP="00BB2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EDS/</w:t>
            </w:r>
            <w:r w:rsidR="00BB27C9"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MICS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1DE6D6A" w14:textId="1CF11851" w:rsidR="00BB27C9" w:rsidRPr="00883F89" w:rsidRDefault="00BB27C9" w:rsidP="00BB2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183281" w14:textId="3E21FB9F" w:rsidR="00BB27C9" w:rsidRPr="00883F89" w:rsidRDefault="00EC7899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MICS 2016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4BB1A25" w14:textId="6130ED4C" w:rsidR="00DD7F0E" w:rsidRPr="00883F89" w:rsidRDefault="00DD7F0E" w:rsidP="00E95A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50% (2023)</w:t>
            </w:r>
          </w:p>
        </w:tc>
      </w:tr>
      <w:tr w:rsidR="00063A65" w:rsidRPr="00883F89" w14:paraId="5667AAA5" w14:textId="670DA7EC" w:rsidTr="00000D0A">
        <w:trPr>
          <w:cantSplit/>
          <w:trHeight w:val="558"/>
        </w:trPr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6D5F" w14:textId="65D46A03" w:rsidR="00BB27C9" w:rsidRPr="00883F89" w:rsidRDefault="00BB27C9" w:rsidP="00BB2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u w:val="single"/>
              </w:rPr>
              <w:t xml:space="preserve">Proxy de </w:t>
            </w:r>
            <w:r w:rsidR="00BD2EE0" w:rsidRPr="00883F8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u w:val="single"/>
              </w:rPr>
              <w:t>routine :</w:t>
            </w:r>
            <w:r w:rsidRPr="00883F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Nombre d'enfants avec une prescription d</w:t>
            </w:r>
            <w:r w:rsidR="00F842DC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883F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SRO + Zinc</w:t>
            </w:r>
          </w:p>
        </w:tc>
        <w:tc>
          <w:tcPr>
            <w:tcW w:w="88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0AA42" w14:textId="45BD055C" w:rsidR="00BB27C9" w:rsidRPr="00883F89" w:rsidRDefault="00A0702F" w:rsidP="00BB2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SNI</w:t>
            </w:r>
            <w:r w:rsidR="00EC7899"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7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6A29" w14:textId="00572841" w:rsidR="00BB27C9" w:rsidRPr="00883F89" w:rsidRDefault="00BB27C9" w:rsidP="00BB2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56 478</w:t>
            </w:r>
          </w:p>
        </w:tc>
        <w:tc>
          <w:tcPr>
            <w:tcW w:w="8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8BF8" w14:textId="7626D831" w:rsidR="00BB27C9" w:rsidRPr="00883F89" w:rsidRDefault="00EC7899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SNIS </w:t>
            </w:r>
            <w:r w:rsidRPr="00883F8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(T2, 2019)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88192F" w14:textId="77777777" w:rsidR="00A0702F" w:rsidRPr="00883F89" w:rsidRDefault="00A0702F" w:rsidP="00E95A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63A65" w:rsidRPr="00883F89" w14:paraId="0DF397C0" w14:textId="286BFEDC" w:rsidTr="00000D0A">
        <w:trPr>
          <w:cantSplit/>
          <w:trHeight w:val="557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ED5D" w14:textId="7FDD6846" w:rsidR="000A11A9" w:rsidRPr="00883F89" w:rsidRDefault="00BB27C9" w:rsidP="00BB27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Pourcentage des enfants de 0-59 mois présentant de la fièvre qui reçoivent la CTA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5EE17" w14:textId="1CD8A16C" w:rsidR="00BB27C9" w:rsidRPr="00883F89" w:rsidRDefault="00BB27C9" w:rsidP="00BB2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MICS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B203" w14:textId="52E2DCAE" w:rsidR="00BB27C9" w:rsidRPr="00883F89" w:rsidRDefault="00BB27C9" w:rsidP="00BB2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64.1%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E5C6" w14:textId="240E8A7B" w:rsidR="00BB27C9" w:rsidRPr="00883F89" w:rsidRDefault="003D4276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MICS 2016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68322" w14:textId="32DD1680" w:rsidR="00A0702F" w:rsidRPr="00883F89" w:rsidRDefault="00A0702F" w:rsidP="00E95A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63A65" w:rsidRPr="00883F89" w14:paraId="4014F5E6" w14:textId="5B7C269E" w:rsidTr="00000D0A">
        <w:trPr>
          <w:cantSplit/>
          <w:trHeight w:val="377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6BDF" w14:textId="67D7AE75" w:rsidR="00BB27C9" w:rsidRPr="002B43BA" w:rsidRDefault="000B244B" w:rsidP="00BB2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43B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  <w:t>Score moyen qualité des ESPC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614B8" w14:textId="08A791ED" w:rsidR="00BB27C9" w:rsidRPr="00883F89" w:rsidRDefault="00BB27C9" w:rsidP="00BB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Portail FBP</w:t>
            </w:r>
            <w:r w:rsidR="006D1D0C"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8DFE" w14:textId="379137B0" w:rsidR="00BB27C9" w:rsidRPr="00883F89" w:rsidRDefault="00BB27C9" w:rsidP="00BB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1720" w14:textId="34DB0DFF" w:rsidR="00BB27C9" w:rsidRPr="00883F89" w:rsidRDefault="003D4276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Portail FBP 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A27E6" w14:textId="49F7FD5E" w:rsidR="00A0702F" w:rsidRPr="00883F89" w:rsidRDefault="00A0702F" w:rsidP="00E95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7030A0"/>
                <w:sz w:val="20"/>
                <w:szCs w:val="20"/>
              </w:rPr>
            </w:pPr>
          </w:p>
        </w:tc>
      </w:tr>
      <w:tr w:rsidR="00063A65" w:rsidRPr="00883F89" w14:paraId="1E98C112" w14:textId="3CB0C184" w:rsidTr="00000D0A">
        <w:trPr>
          <w:cantSplit/>
          <w:trHeight w:val="377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A4B0" w14:textId="20F3D11B" w:rsidR="00146700" w:rsidRPr="00AB7CCE" w:rsidRDefault="00146700" w:rsidP="001467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7C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Nombre de cas pris en charge par l'ASC </w:t>
            </w:r>
            <w:r w:rsidRPr="00AB7CCE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="00AB7CCE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paludisme</w:t>
            </w:r>
            <w:r w:rsidRPr="00AB7CCE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, diarrhée, pneumonie) 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8CC5A" w14:textId="634F2199" w:rsidR="00146700" w:rsidRPr="00C903AB" w:rsidRDefault="00146700" w:rsidP="001467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903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SNIS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966D" w14:textId="2FFC913D" w:rsidR="00146700" w:rsidRPr="00883F89" w:rsidRDefault="00477D38" w:rsidP="001467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40 172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A57F" w14:textId="51FC81E0" w:rsidR="00146700" w:rsidRPr="00883F89" w:rsidRDefault="00A0702F" w:rsidP="00E95A72">
            <w:pPr>
              <w:spacing w:after="0" w:line="240" w:lineRule="auto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D4276"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SNIS</w:t>
            </w:r>
            <w:r w:rsidR="004E1EBF"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(T2, 2019)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F94D2" w14:textId="77777777" w:rsidR="00A0702F" w:rsidRPr="00883F89" w:rsidRDefault="00A0702F" w:rsidP="00E95A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63A65" w:rsidRPr="00883F89" w14:paraId="439649EC" w14:textId="1CA546C0" w:rsidTr="00000D0A">
        <w:trPr>
          <w:cantSplit/>
          <w:trHeight w:val="377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115B" w14:textId="417669A0" w:rsidR="004B6705" w:rsidRPr="00883F89" w:rsidRDefault="004B6705" w:rsidP="004B67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Pourcentage des établissements sanitaires recevant une visite de supervision intégrée chaque trimestre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27F57" w14:textId="1138EB88" w:rsidR="004B6705" w:rsidRPr="00883F89" w:rsidRDefault="004B6705" w:rsidP="004B6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Portail FBP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F7AF" w14:textId="73EEBF2B" w:rsidR="004B6705" w:rsidRPr="00883F89" w:rsidRDefault="00553D7C" w:rsidP="004B67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99.3%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CE90" w14:textId="3FF2D8F7" w:rsidR="004B6705" w:rsidRPr="00883F89" w:rsidRDefault="003D4276" w:rsidP="00E95A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Portail FBP (T2, 2019)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55B89" w14:textId="5EADDCB0" w:rsidR="004004A0" w:rsidRPr="00883F89" w:rsidRDefault="005810FB" w:rsidP="00E95A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99.5% (2023)</w:t>
            </w:r>
          </w:p>
        </w:tc>
      </w:tr>
      <w:tr w:rsidR="00063A65" w:rsidRPr="00883F89" w14:paraId="2573B77C" w14:textId="2EEC919C" w:rsidTr="00000D0A">
        <w:trPr>
          <w:cantSplit/>
          <w:trHeight w:val="377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7419" w14:textId="48AB4D08" w:rsidR="002B6E01" w:rsidRPr="00883F89" w:rsidRDefault="002B6E01" w:rsidP="002B6E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bCs/>
                <w:sz w:val="20"/>
                <w:szCs w:val="20"/>
              </w:rPr>
              <w:t>Taux de disponibilité des produits traceurs (stockage)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58D32" w14:textId="6791C98E" w:rsidR="002B6E01" w:rsidRPr="00883F89" w:rsidRDefault="002B6E01" w:rsidP="002B6E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Portail FBP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84CB" w14:textId="7E8F78BA" w:rsidR="002B6E01" w:rsidRPr="00883F89" w:rsidRDefault="006D1D0C" w:rsidP="002B6E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83%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1A1E" w14:textId="0E369FC9" w:rsidR="002B6E01" w:rsidRPr="00883F89" w:rsidRDefault="00A0702F" w:rsidP="00E95A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D4276"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Portail FBP (T2, 2019)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2E964" w14:textId="0472A82F" w:rsidR="00A0702F" w:rsidRPr="00883F89" w:rsidRDefault="005810FB" w:rsidP="00E95A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7030A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90% (2023)</w:t>
            </w:r>
          </w:p>
        </w:tc>
      </w:tr>
      <w:tr w:rsidR="00063A65" w:rsidRPr="00883F89" w14:paraId="26AC9BDB" w14:textId="3EC9079A" w:rsidTr="00000D0A">
        <w:trPr>
          <w:cantSplit/>
          <w:trHeight w:val="377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98FE" w14:textId="3E69E8A9" w:rsidR="002B6E01" w:rsidRPr="00883F89" w:rsidRDefault="002B6E01" w:rsidP="002B6E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Nombre de décès maternels </w:t>
            </w:r>
            <w:r w:rsidR="00E43F7C"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et néonataux </w:t>
            </w:r>
            <w:r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notifiés par les prestataires de santé et ASC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B52D0" w14:textId="664DF7B0" w:rsidR="002B6E01" w:rsidRPr="00883F89" w:rsidRDefault="00E43F7C" w:rsidP="002B6E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SNIS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F039" w14:textId="55227366" w:rsidR="00AD084A" w:rsidRPr="00883F89" w:rsidRDefault="00AD084A" w:rsidP="002B6E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7B73" w14:textId="6E97C263" w:rsidR="00AD084A" w:rsidRPr="00883F89" w:rsidRDefault="00AD084A" w:rsidP="00E95A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SNIS (T2, 2019)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15B21" w14:textId="77777777" w:rsidR="00A0702F" w:rsidRPr="00883F89" w:rsidRDefault="00A0702F" w:rsidP="00E95A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</w:p>
        </w:tc>
      </w:tr>
      <w:tr w:rsidR="00063A65" w:rsidRPr="00883F89" w14:paraId="3539C1B8" w14:textId="79ABA0AB" w:rsidTr="00000D0A">
        <w:trPr>
          <w:cantSplit/>
          <w:trHeight w:val="377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D7B2" w14:textId="0A694C22" w:rsidR="006A60B1" w:rsidRPr="00AB7CCE" w:rsidRDefault="00C469AA" w:rsidP="006A60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Pourcentage des établissements </w:t>
            </w:r>
            <w:r w:rsidR="00AB7CCE"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sanitaires répondant</w:t>
            </w:r>
            <w:r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aux normes en termes de ressources humaines de la santé </w:t>
            </w:r>
            <w:r w:rsidR="00AB7CCE"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(désagrégation :</w:t>
            </w:r>
            <w:r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Etablissements Public</w:t>
            </w:r>
            <w:r w:rsidR="00AB7C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 </w:t>
            </w:r>
            <w:r w:rsidRPr="00AB7C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 Etablissements Privé</w:t>
            </w:r>
            <w:r w:rsidR="00AB7C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</w:t>
            </w:r>
            <w:r w:rsidRPr="00AB7C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8662" w14:textId="4A3EE793" w:rsidR="006A60B1" w:rsidRPr="00C903AB" w:rsidRDefault="006A60B1" w:rsidP="006A60B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90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Carte Sanitaire Dynamique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125A" w14:textId="4711F3D6" w:rsidR="006A60B1" w:rsidRPr="00883F89" w:rsidRDefault="006A60B1" w:rsidP="006A60B1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ND  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DBBD" w14:textId="013415C9" w:rsidR="006A60B1" w:rsidRPr="00883F89" w:rsidRDefault="003D4276" w:rsidP="00E95A7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Carte Sanitaire Dynamique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D03DD" w14:textId="77777777" w:rsidR="00A0702F" w:rsidRPr="00883F89" w:rsidRDefault="00A0702F" w:rsidP="00E95A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63A65" w:rsidRPr="00883F89" w14:paraId="55DA70C9" w14:textId="0E9DB165" w:rsidTr="00000D0A">
        <w:trPr>
          <w:cantSplit/>
          <w:trHeight w:val="377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4CE7" w14:textId="7BE7A71D" w:rsidR="001D7603" w:rsidRPr="00C903AB" w:rsidRDefault="001D7603" w:rsidP="001D76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Nombre de prestataires de santé sortis de </w:t>
            </w:r>
            <w:r w:rsidR="00BD2EE0" w:rsidRPr="00883F89">
              <w:rPr>
                <w:rFonts w:ascii="Times New Roman" w:hAnsi="Times New Roman" w:cs="Times New Roman"/>
                <w:bCs/>
                <w:sz w:val="20"/>
                <w:szCs w:val="20"/>
              </w:rPr>
              <w:t>l’I</w:t>
            </w:r>
            <w:r w:rsidR="00C36091">
              <w:rPr>
                <w:rFonts w:ascii="Times New Roman" w:hAnsi="Times New Roman" w:cs="Times New Roman"/>
                <w:bCs/>
                <w:sz w:val="20"/>
                <w:szCs w:val="20"/>
              </w:rPr>
              <w:t>nstitut National de Formation des Agents de Santé (I</w:t>
            </w:r>
            <w:r w:rsidR="00BD2EE0" w:rsidRPr="00883F89">
              <w:rPr>
                <w:rFonts w:ascii="Times New Roman" w:hAnsi="Times New Roman" w:cs="Times New Roman"/>
                <w:bCs/>
                <w:sz w:val="20"/>
                <w:szCs w:val="20"/>
              </w:rPr>
              <w:t>NFAS</w:t>
            </w:r>
            <w:r w:rsidR="00C3609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BD2EE0" w:rsidRPr="000E04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0E04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désagrégé par </w:t>
            </w:r>
            <w:r w:rsidR="00BD2EE0" w:rsidRPr="000E04E4">
              <w:rPr>
                <w:rFonts w:ascii="Times New Roman" w:hAnsi="Times New Roman" w:cs="Times New Roman"/>
                <w:bCs/>
                <w:sz w:val="20"/>
                <w:szCs w:val="20"/>
              </w:rPr>
              <w:t>catégorie :</w:t>
            </w:r>
            <w:r w:rsidRPr="00C903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infirmiers et sages-femmes)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908D2" w14:textId="1A416C6F" w:rsidR="001D7603" w:rsidRPr="00883F89" w:rsidRDefault="001D7603" w:rsidP="001D76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Service de Scolarité de l'INFAS</w:t>
            </w:r>
            <w:r w:rsidR="000759A3" w:rsidRPr="00883F8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1E08" w14:textId="49825D20" w:rsidR="001D7603" w:rsidRPr="00883F89" w:rsidRDefault="00B47FAA" w:rsidP="001D76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1913</w:t>
            </w:r>
            <w:r w:rsidR="00A0702F" w:rsidRPr="00883F8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E628" w14:textId="5AE99F96" w:rsidR="001D7603" w:rsidRPr="00883F89" w:rsidRDefault="003D4276" w:rsidP="00E95A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Service de Scolarité de l'INFAS (2019)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BF5EF" w14:textId="7E8590BB" w:rsidR="00827D99" w:rsidRPr="00883F89" w:rsidRDefault="00956C9B" w:rsidP="00E95A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2817 (</w:t>
            </w:r>
            <w:r w:rsidR="00827D99" w:rsidRPr="00883F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202</w:t>
            </w:r>
            <w:r w:rsidR="00B86F9E" w:rsidRPr="00883F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3</w:t>
            </w:r>
            <w:r w:rsidRPr="00883F8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13831FBE" w14:textId="2DC6B38C" w:rsidR="00FE2C4C" w:rsidRDefault="00FE2C4C" w:rsidP="00B53DBC">
      <w:pPr>
        <w:rPr>
          <w:b/>
        </w:rPr>
      </w:pPr>
    </w:p>
    <w:p w14:paraId="57B249BE" w14:textId="7C67C1C7" w:rsidR="00C36091" w:rsidRDefault="00C36091" w:rsidP="00B53DBC">
      <w:pPr>
        <w:rPr>
          <w:b/>
        </w:rPr>
      </w:pPr>
    </w:p>
    <w:p w14:paraId="3381D7D2" w14:textId="77777777" w:rsidR="003A2BFE" w:rsidRPr="00883F89" w:rsidRDefault="003A2BFE" w:rsidP="00B53DBC">
      <w:pPr>
        <w:rPr>
          <w:b/>
        </w:rPr>
      </w:pPr>
    </w:p>
    <w:p w14:paraId="5B4DE580" w14:textId="174155C1" w:rsidR="00B47294" w:rsidRDefault="009A4300" w:rsidP="009B792D">
      <w:pPr>
        <w:pStyle w:val="NormalWeb"/>
        <w:spacing w:after="0"/>
        <w:rPr>
          <w:b/>
          <w:sz w:val="22"/>
          <w:szCs w:val="22"/>
        </w:rPr>
      </w:pPr>
      <w:r w:rsidRPr="00883F89">
        <w:rPr>
          <w:b/>
          <w:sz w:val="22"/>
          <w:szCs w:val="22"/>
        </w:rPr>
        <w:t xml:space="preserve">Effet 3 : </w:t>
      </w:r>
      <w:r w:rsidR="00B82310" w:rsidRPr="00883F89">
        <w:rPr>
          <w:b/>
          <w:sz w:val="22"/>
          <w:szCs w:val="22"/>
        </w:rPr>
        <w:t>Le système de santé (infrastructures, système d’information sanitaire, chaine d’approvisionnement, et système d’assurance-qualité) dans les secteurs public et privé est renforcé</w:t>
      </w:r>
    </w:p>
    <w:p w14:paraId="40838503" w14:textId="77777777" w:rsidR="003A2BFE" w:rsidRPr="00883F89" w:rsidRDefault="003A2BFE" w:rsidP="009B792D">
      <w:pPr>
        <w:pStyle w:val="NormalWeb"/>
        <w:spacing w:after="0"/>
        <w:rPr>
          <w:b/>
          <w:bCs/>
          <w:color w:val="000000"/>
          <w:kern w:val="24"/>
          <w:sz w:val="22"/>
          <w:szCs w:val="22"/>
        </w:rPr>
      </w:pPr>
    </w:p>
    <w:tbl>
      <w:tblPr>
        <w:tblW w:w="6013" w:type="pct"/>
        <w:jc w:val="center"/>
        <w:tblLook w:val="04A0" w:firstRow="1" w:lastRow="0" w:firstColumn="1" w:lastColumn="0" w:noHBand="0" w:noVBand="1"/>
      </w:tblPr>
      <w:tblGrid>
        <w:gridCol w:w="4046"/>
        <w:gridCol w:w="1889"/>
        <w:gridCol w:w="1619"/>
        <w:gridCol w:w="1891"/>
        <w:gridCol w:w="1799"/>
      </w:tblGrid>
      <w:tr w:rsidR="006A271D" w:rsidRPr="00883F89" w14:paraId="3594F7B3" w14:textId="5F89B691" w:rsidTr="003A7745">
        <w:trPr>
          <w:cantSplit/>
          <w:trHeight w:val="395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54E6DCB" w14:textId="0C0207C8" w:rsidR="008B5495" w:rsidRPr="00883F89" w:rsidRDefault="008B5495" w:rsidP="008B5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Nom de </w:t>
            </w:r>
            <w:r w:rsidRPr="00883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l’indicateur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 w:themeFill="accent3" w:themeFillTint="66"/>
          </w:tcPr>
          <w:p w14:paraId="7CD6B080" w14:textId="7497E820" w:rsidR="008B5495" w:rsidRPr="00883F89" w:rsidRDefault="008B5495" w:rsidP="008B5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19FABF8" w14:textId="25C955E4" w:rsidR="008B5495" w:rsidRPr="00883F89" w:rsidRDefault="00E0525F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Situation de base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 w:themeFill="accent3" w:themeFillTint="66"/>
          </w:tcPr>
          <w:p w14:paraId="42C254A1" w14:textId="5B6395F8" w:rsidR="00E0525F" w:rsidRPr="00883F89" w:rsidRDefault="00E0525F" w:rsidP="0080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Cibles </w:t>
            </w:r>
          </w:p>
        </w:tc>
      </w:tr>
      <w:tr w:rsidR="00E0525F" w:rsidRPr="00883F89" w14:paraId="3EED4BC9" w14:textId="6E54DBA5" w:rsidTr="003A7745">
        <w:trPr>
          <w:cantSplit/>
          <w:trHeight w:val="395"/>
          <w:jc w:val="center"/>
        </w:trPr>
        <w:tc>
          <w:tcPr>
            <w:tcW w:w="1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E89452C" w14:textId="77777777" w:rsidR="00E0525F" w:rsidRPr="00883F89" w:rsidRDefault="00E0525F" w:rsidP="0080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32F6EE5" w14:textId="77777777" w:rsidR="00E0525F" w:rsidRPr="00883F89" w:rsidRDefault="00E0525F" w:rsidP="0080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DBE0CBA" w14:textId="7C9FAE78" w:rsidR="00E0525F" w:rsidRPr="00883F89" w:rsidRDefault="00E0525F" w:rsidP="0080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Valeur de base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EFB04A0" w14:textId="0220A4AE" w:rsidR="00E0525F" w:rsidRPr="00883F89" w:rsidRDefault="00E0525F" w:rsidP="0080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8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87B3537" w14:textId="77777777" w:rsidR="00E0525F" w:rsidRPr="00883F89" w:rsidRDefault="00E0525F" w:rsidP="0080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311E7" w:rsidRPr="00883F89" w14:paraId="58B2922B" w14:textId="77777777" w:rsidTr="006311E7">
        <w:trPr>
          <w:cantSplit/>
          <w:trHeight w:val="395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94DCCB2" w14:textId="584B2AC1" w:rsidR="006311E7" w:rsidRPr="00883F89" w:rsidRDefault="006311E7" w:rsidP="0080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Indicateurs d’effet</w:t>
            </w:r>
          </w:p>
        </w:tc>
      </w:tr>
      <w:tr w:rsidR="00E90627" w:rsidRPr="00883F89" w14:paraId="43C20072" w14:textId="6BA51C6A" w:rsidTr="00FC3D5C">
        <w:trPr>
          <w:cantSplit/>
          <w:trHeight w:val="530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8745C" w14:textId="4A5B75C8" w:rsidR="00E90627" w:rsidRPr="00883F89" w:rsidRDefault="00E90627" w:rsidP="00E90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Taux de disponibilité des produits traceurs (districts et hôpitaux)</w:t>
            </w:r>
          </w:p>
          <w:p w14:paraId="31C24423" w14:textId="04BCBB53" w:rsidR="009724F0" w:rsidRPr="00883F89" w:rsidRDefault="009724F0" w:rsidP="00E90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6B1300" w14:textId="77777777" w:rsidR="009724F0" w:rsidRPr="00883F89" w:rsidRDefault="009724F0" w:rsidP="00E90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C1D780" w14:textId="77777777" w:rsidR="00E222D2" w:rsidRPr="00883F89" w:rsidRDefault="00E222D2" w:rsidP="00E90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E37E42F" w14:textId="4B11A3B3" w:rsidR="00E222D2" w:rsidRPr="00883F89" w:rsidRDefault="00E222D2" w:rsidP="00E90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9B026" w14:textId="54265919" w:rsidR="00E90627" w:rsidRPr="00883F89" w:rsidRDefault="00806583" w:rsidP="00E90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eSIG</w:t>
            </w:r>
            <w:r w:rsidR="00EF1813"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769D0" w14:textId="1CC5B446" w:rsidR="00E90627" w:rsidRPr="00883F89" w:rsidRDefault="00815A65" w:rsidP="00E90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F91390" w:rsidRPr="00883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883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F91390" w:rsidRPr="00883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  <w:r w:rsidR="00E90627" w:rsidRPr="00883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  <w:r w:rsidR="00E90627" w:rsidRPr="00883F8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</w:r>
            <w:r w:rsidR="00E90627" w:rsidRPr="00883F8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br/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1965" w14:textId="6FB146EC" w:rsidR="00E90627" w:rsidRPr="00883F89" w:rsidRDefault="00E0525F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eSIGL (T2, 2019)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DB042" w14:textId="77777777" w:rsidR="00806583" w:rsidRPr="00883F89" w:rsidRDefault="00806583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0627" w:rsidRPr="00883F89" w14:paraId="14E82E17" w14:textId="6CBE07F0" w:rsidTr="003A7745">
        <w:trPr>
          <w:cantSplit/>
          <w:trHeight w:val="575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21B4F" w14:textId="358724F1" w:rsidR="00E90627" w:rsidRPr="00883F89" w:rsidRDefault="00E90627" w:rsidP="00E90627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Disponibilité moyenne des infrastructures indispensables dans l'établissement sanitaire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E4E9317" w14:textId="672C1BE2" w:rsidR="00E90627" w:rsidRPr="00883F89" w:rsidRDefault="00E90627" w:rsidP="00E90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SARA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6DE10D" w14:textId="77777777" w:rsidR="00E90627" w:rsidRPr="00883F89" w:rsidRDefault="00E90627" w:rsidP="00E90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5F87C4" w14:textId="324FB045" w:rsidR="00E90627" w:rsidRPr="00883F89" w:rsidRDefault="00EF1813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SARA (2016)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0C1120" w14:textId="77777777" w:rsidR="00806583" w:rsidRPr="00883F89" w:rsidRDefault="00806583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0627" w:rsidRPr="00883F89" w14:paraId="77CD5378" w14:textId="33A354B9" w:rsidTr="003A7745">
        <w:trPr>
          <w:cantSplit/>
          <w:trHeight w:val="477"/>
          <w:jc w:val="center"/>
        </w:trPr>
        <w:tc>
          <w:tcPr>
            <w:tcW w:w="1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CF190" w14:textId="3C5227F8" w:rsidR="00E90627" w:rsidRPr="00883F89" w:rsidRDefault="00E90627" w:rsidP="00E90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Proxy de </w:t>
            </w:r>
            <w:r w:rsidR="00BD2EE0" w:rsidRPr="00883F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u w:val="single"/>
              </w:rPr>
              <w:t>routine :</w:t>
            </w:r>
            <w:r w:rsidRPr="00883F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Pr="00883F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Disponibilité moyenne des infrastructures indispensables dans l'établissement sanitaire</w:t>
            </w:r>
          </w:p>
        </w:tc>
        <w:tc>
          <w:tcPr>
            <w:tcW w:w="84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BE68B" w14:textId="77777777" w:rsidR="00E90627" w:rsidRPr="00883F89" w:rsidRDefault="00E90627" w:rsidP="00E90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Carte Sanitaire Dynamique</w:t>
            </w:r>
          </w:p>
        </w:tc>
        <w:tc>
          <w:tcPr>
            <w:tcW w:w="72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85C69" w14:textId="02874148" w:rsidR="00E90627" w:rsidRPr="00883F89" w:rsidRDefault="00E90627" w:rsidP="00E90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ND </w:t>
            </w:r>
          </w:p>
        </w:tc>
        <w:tc>
          <w:tcPr>
            <w:tcW w:w="84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DC9A4" w14:textId="289FF933" w:rsidR="00E90627" w:rsidRPr="00883F89" w:rsidRDefault="00EF1813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Carte Sanitaire Dynamique</w:t>
            </w:r>
          </w:p>
        </w:tc>
        <w:tc>
          <w:tcPr>
            <w:tcW w:w="80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C5D99F" w14:textId="77777777" w:rsidR="00806583" w:rsidRPr="00883F89" w:rsidRDefault="00806583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CD5" w:rsidRPr="00883F89" w14:paraId="46E9FADA" w14:textId="77777777" w:rsidTr="00B24CD5">
        <w:trPr>
          <w:cantSplit/>
          <w:trHeight w:val="296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217D241" w14:textId="7ADADA18" w:rsidR="00B24CD5" w:rsidRPr="00AB7CCE" w:rsidRDefault="00B24CD5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7C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Indicateurs d’extrant</w:t>
            </w:r>
          </w:p>
        </w:tc>
      </w:tr>
      <w:tr w:rsidR="00F65C13" w:rsidRPr="00883F89" w14:paraId="162C7D2F" w14:textId="010F106D" w:rsidTr="003A7745">
        <w:trPr>
          <w:cantSplit/>
          <w:trHeight w:val="557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E72F" w14:textId="77C85D05" w:rsidR="00F65C13" w:rsidRPr="00883F89" w:rsidRDefault="00F65C13" w:rsidP="00F65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Nombre </w:t>
            </w:r>
            <w:r w:rsidRPr="00883F8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</w:t>
            </w:r>
            <w:r w:rsidR="001261FE" w:rsidRPr="00883F8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’établissements sanitaires</w:t>
            </w:r>
            <w:r w:rsidRPr="00883F8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qui utilisent le processus eStock (avec outil électronique) pour la commande et le suivi des intrants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CABF" w14:textId="53AE87C4" w:rsidR="00F65C13" w:rsidRPr="00883F89" w:rsidRDefault="00F65C13" w:rsidP="00F6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Données administratives du PNDAP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BE9B" w14:textId="2FDFB742" w:rsidR="00F65C13" w:rsidRPr="00883F89" w:rsidRDefault="00F65C13" w:rsidP="00F6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0326" w14:textId="4736423A" w:rsidR="00F65C13" w:rsidRPr="00883F89" w:rsidRDefault="00EF1813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Données administratives du PNDAP (T2, 2019)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4DCA1" w14:textId="33EBC007" w:rsidR="00806583" w:rsidRPr="00883F89" w:rsidRDefault="00FF3AD0" w:rsidP="00E95A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693 (2020)</w:t>
            </w:r>
          </w:p>
        </w:tc>
      </w:tr>
      <w:tr w:rsidR="00826F99" w:rsidRPr="00883F89" w14:paraId="2CD667D3" w14:textId="0F27262A" w:rsidTr="003A7745">
        <w:trPr>
          <w:cantSplit/>
          <w:trHeight w:val="530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2784" w14:textId="752D2C1B" w:rsidR="00826F99" w:rsidRPr="00883F89" w:rsidRDefault="00826F99" w:rsidP="00826F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Promptitude des rapports d’activités mensuels rapportés dans le DHIS 2 (</w:t>
            </w:r>
            <w:r w:rsidR="00BD2EE0"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désagrégé :</w:t>
            </w:r>
            <w:r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public, privé)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CE5D" w14:textId="615AF2A2" w:rsidR="00826F99" w:rsidRPr="00883F89" w:rsidRDefault="00806583" w:rsidP="00826F9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SNIS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B6B3" w14:textId="3CA94A68" w:rsidR="00826F99" w:rsidRPr="00883F89" w:rsidRDefault="00826F99" w:rsidP="00826F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91.6%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E6F7" w14:textId="6617B965" w:rsidR="00826F99" w:rsidRPr="00883F89" w:rsidRDefault="00806583" w:rsidP="00E95A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F1813"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SNIS (T2, 2019)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732A6" w14:textId="77777777" w:rsidR="00806583" w:rsidRPr="00883F89" w:rsidRDefault="00806583" w:rsidP="00E95A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26F99" w:rsidRPr="00883F89" w14:paraId="5111108E" w14:textId="342BCA6B" w:rsidTr="003A7745">
        <w:trPr>
          <w:cantSplit/>
          <w:trHeight w:val="287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E811" w14:textId="096D55AA" w:rsidR="00826F99" w:rsidRPr="00883F89" w:rsidRDefault="00826F99" w:rsidP="00826F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Utili</w:t>
            </w:r>
            <w:r w:rsidR="00D679FF"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</w:t>
            </w:r>
            <w:r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ation des rapports DHIS2 (Nombre total de vues)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8CF8" w14:textId="682BDE17" w:rsidR="00826F99" w:rsidRPr="00883F89" w:rsidRDefault="00826F99" w:rsidP="00826F9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SNIS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FA2A" w14:textId="511C5602" w:rsidR="00826F99" w:rsidRPr="00883F89" w:rsidRDefault="00826F99" w:rsidP="00826F99">
            <w:pPr>
              <w:spacing w:after="0" w:line="240" w:lineRule="auto"/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CF3C" w14:textId="0F81329C" w:rsidR="00826F99" w:rsidRPr="00883F89" w:rsidRDefault="00806583" w:rsidP="00E9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1813"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SNIS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3CC3B" w14:textId="77777777" w:rsidR="00806583" w:rsidRPr="00883F89" w:rsidRDefault="00806583" w:rsidP="00E95A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31DE3" w:rsidRPr="00883F89" w14:paraId="51891FA0" w14:textId="2ABA478D" w:rsidTr="003A7745">
        <w:trPr>
          <w:cantSplit/>
          <w:trHeight w:val="710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69A0" w14:textId="05A5A0A6" w:rsidR="00D31DE3" w:rsidRPr="00883F89" w:rsidRDefault="00A002E8" w:rsidP="00D31D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Les nouveaux outils intégrés d'assurance qualité sont développés, approuv</w:t>
            </w:r>
            <w:r w:rsidR="00D4614B"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é</w:t>
            </w:r>
            <w:r w:rsidR="00A1594A"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</w:t>
            </w:r>
            <w:r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et diffus</w:t>
            </w:r>
            <w:r w:rsidR="00D4614B"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é</w:t>
            </w:r>
            <w:r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06C1" w14:textId="595FBF8A" w:rsidR="00D31DE3" w:rsidRPr="00883F89" w:rsidRDefault="00D31DE3" w:rsidP="00D31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Données administratives de la DMHP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D5AE" w14:textId="60801999" w:rsidR="00D31DE3" w:rsidRPr="00883F89" w:rsidRDefault="001261FE" w:rsidP="00D31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5D8F" w14:textId="252512F6" w:rsidR="00D31DE3" w:rsidRPr="00883F89" w:rsidRDefault="00536834" w:rsidP="00E95A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Données administratives de la DMHP</w:t>
            </w:r>
            <w:r w:rsidR="00C94417"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(2019)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D3BC2" w14:textId="75F32AD1" w:rsidR="00536834" w:rsidRPr="00883F89" w:rsidRDefault="00536834" w:rsidP="00E95A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Oui</w:t>
            </w:r>
            <w:r w:rsidR="00D51F55" w:rsidRPr="00883F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(</w:t>
            </w:r>
            <w:r w:rsidRPr="00883F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202</w:t>
            </w:r>
            <w:r w:rsidR="003E2E99" w:rsidRPr="00883F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3</w:t>
            </w:r>
            <w:r w:rsidR="00D51F55" w:rsidRPr="00883F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820CD7" w:rsidRPr="00883F89" w14:paraId="140F4364" w14:textId="733154F4" w:rsidTr="003A7745">
        <w:trPr>
          <w:cantSplit/>
          <w:trHeight w:val="467"/>
          <w:jc w:val="center"/>
        </w:trPr>
        <w:tc>
          <w:tcPr>
            <w:tcW w:w="17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ACDB5B" w14:textId="664F213B" w:rsidR="00D31DE3" w:rsidRPr="00883F89" w:rsidRDefault="00D31DE3" w:rsidP="00D31D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Nombre d'établissements sanitaires privés immatriculés (et qui transmettent les données dans le DHIS2)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67F8CB" w14:textId="6112DB3C" w:rsidR="00D31DE3" w:rsidRPr="00883F89" w:rsidRDefault="00D31DE3" w:rsidP="00D31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SNIS + base de données DEPS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C04935" w14:textId="3C6CF4BF" w:rsidR="00D31DE3" w:rsidRPr="00883F89" w:rsidRDefault="005E49B7" w:rsidP="00D31DE3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C53857" w14:textId="09A7EED0" w:rsidR="00D31DE3" w:rsidRPr="00883F89" w:rsidRDefault="00A808E9" w:rsidP="00E95A7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SNIS + base de données DEPS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98CEA" w14:textId="77777777" w:rsidR="00806583" w:rsidRPr="00883F89" w:rsidRDefault="00806583" w:rsidP="00E95A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</w:p>
        </w:tc>
      </w:tr>
      <w:tr w:rsidR="001C7012" w:rsidRPr="00883F89" w14:paraId="071D9C1D" w14:textId="2E4A1846" w:rsidTr="003A7745">
        <w:trPr>
          <w:cantSplit/>
          <w:trHeight w:val="710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09CE" w14:textId="70D8515A" w:rsidR="001C7012" w:rsidRPr="00883F89" w:rsidRDefault="00AF47F3" w:rsidP="001C70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bCs/>
                <w:sz w:val="20"/>
                <w:szCs w:val="20"/>
              </w:rPr>
              <w:t>Nombre</w:t>
            </w:r>
            <w:r w:rsidR="001C7012" w:rsidRPr="00883F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des principaux sous-systèmes qui sont intégrés dans la Plateforme </w:t>
            </w:r>
            <w:r w:rsidR="00097B8C" w:rsidRPr="00883F89">
              <w:rPr>
                <w:rFonts w:ascii="Times New Roman" w:hAnsi="Times New Roman" w:cs="Times New Roman"/>
                <w:bCs/>
                <w:sz w:val="20"/>
                <w:szCs w:val="20"/>
              </w:rPr>
              <w:t>Décisionnelle</w:t>
            </w:r>
            <w:r w:rsidR="001C7012" w:rsidRPr="00883F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('Business Intelligence') de la DIIS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16DA" w14:textId="317F6304" w:rsidR="001C7012" w:rsidRPr="00883F89" w:rsidRDefault="001C7012" w:rsidP="001C7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sz w:val="20"/>
                <w:szCs w:val="20"/>
              </w:rPr>
              <w:t>Données administratives de la DIIS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7C11" w14:textId="712FD498" w:rsidR="001C7012" w:rsidRPr="00883F89" w:rsidRDefault="001C7012" w:rsidP="001C701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6DF8" w14:textId="7FB7A174" w:rsidR="001C7012" w:rsidRPr="00883F89" w:rsidRDefault="00A808E9" w:rsidP="00E95A7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sz w:val="20"/>
                <w:szCs w:val="20"/>
              </w:rPr>
              <w:t>Données administratives de la DIIS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633CE" w14:textId="7005181F" w:rsidR="00806583" w:rsidRPr="00883F89" w:rsidRDefault="00CD4CA2" w:rsidP="00E95A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 (2023)</w:t>
            </w:r>
          </w:p>
        </w:tc>
      </w:tr>
      <w:tr w:rsidR="00D679FF" w:rsidRPr="00883F89" w14:paraId="5FFBC8CD" w14:textId="368305FC" w:rsidTr="003A7745">
        <w:trPr>
          <w:cantSplit/>
          <w:trHeight w:val="512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F070" w14:textId="50707F47" w:rsidR="00D679FF" w:rsidRPr="00883F89" w:rsidRDefault="00D679FF" w:rsidP="00D679F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Nombre d'établissements sanitaires construits ou réhabilités (</w:t>
            </w:r>
            <w:r w:rsidR="00097B8C"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désagrégé :</w:t>
            </w: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97B8C"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construits</w:t>
            </w: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réhabilité)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EF9A" w14:textId="0D76E0B7" w:rsidR="00D679FF" w:rsidRPr="00883F89" w:rsidRDefault="00D679FF" w:rsidP="00D67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05A25"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Rapport DIEM</w:t>
            </w:r>
            <w:r w:rsidR="00BB44A2"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A49C" w14:textId="53862770" w:rsidR="00D679FF" w:rsidRPr="00883F89" w:rsidRDefault="00192D10" w:rsidP="00D679F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Réhabilités : </w:t>
            </w:r>
            <w:r w:rsidR="00C7620F"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 ESPC</w:t>
            </w:r>
            <w:r w:rsidR="00B653BC"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8 Hôpitaux</w:t>
            </w:r>
            <w:r w:rsidR="00C7620F"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7B8A"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(dans le cadre de la CMU)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E151" w14:textId="444485AA" w:rsidR="00D679FF" w:rsidRPr="00883F89" w:rsidRDefault="00A808E9" w:rsidP="00E95A7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Rapport DIEM</w:t>
            </w:r>
            <w:r w:rsidR="00BB44A2"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(2019)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FE122" w14:textId="34A26A87" w:rsidR="00806583" w:rsidRPr="00883F89" w:rsidRDefault="00806583" w:rsidP="00E95A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79FF" w:rsidRPr="00883F89" w14:paraId="678FCC7D" w14:textId="230D955F" w:rsidTr="003A7745">
        <w:trPr>
          <w:cantSplit/>
          <w:trHeight w:val="710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F54A" w14:textId="2DDC2D43" w:rsidR="00D679FF" w:rsidRPr="00883F89" w:rsidRDefault="00D679FF" w:rsidP="00D679F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Pourcentage de la population à moins de 60 minutes [à pied/de voyage] d'un ESPC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097A" w14:textId="1554BBE8" w:rsidR="00D679FF" w:rsidRPr="00883F89" w:rsidRDefault="00D679FF" w:rsidP="00D67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AccessMod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4EE2" w14:textId="0EFB6D16" w:rsidR="00D679FF" w:rsidRPr="00883F89" w:rsidRDefault="00C64F6A" w:rsidP="00D679FF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85,7 %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0B78" w14:textId="390B38ED" w:rsidR="00D679FF" w:rsidRPr="00883F89" w:rsidRDefault="00A808E9" w:rsidP="00E95A7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AccessMod </w:t>
            </w:r>
            <w:r w:rsidR="00FC3AA6"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="00A74166"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65C0F" w14:textId="77777777" w:rsidR="00806583" w:rsidRPr="00883F89" w:rsidRDefault="00806583" w:rsidP="00E95A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BDD18EB" w14:textId="6E0190B3" w:rsidR="002A741B" w:rsidRPr="00883F89" w:rsidRDefault="002A741B" w:rsidP="00A1594A">
      <w:pPr>
        <w:rPr>
          <w:b/>
        </w:rPr>
      </w:pPr>
    </w:p>
    <w:p w14:paraId="6BA69028" w14:textId="2222AC53" w:rsidR="00A5324C" w:rsidRDefault="00A5324C" w:rsidP="00A1594A">
      <w:pPr>
        <w:rPr>
          <w:b/>
        </w:rPr>
      </w:pPr>
    </w:p>
    <w:p w14:paraId="27399E6E" w14:textId="687FB73A" w:rsidR="00C36091" w:rsidRDefault="00C36091" w:rsidP="00A1594A">
      <w:pPr>
        <w:rPr>
          <w:b/>
        </w:rPr>
      </w:pPr>
    </w:p>
    <w:p w14:paraId="3022A3EA" w14:textId="3BF716AF" w:rsidR="00C36091" w:rsidRDefault="00C36091" w:rsidP="00A1594A">
      <w:pPr>
        <w:rPr>
          <w:b/>
        </w:rPr>
      </w:pPr>
    </w:p>
    <w:p w14:paraId="112E06C7" w14:textId="77777777" w:rsidR="00C36091" w:rsidRPr="00883F89" w:rsidRDefault="00C36091" w:rsidP="00A1594A">
      <w:pPr>
        <w:rPr>
          <w:b/>
        </w:rPr>
      </w:pPr>
    </w:p>
    <w:p w14:paraId="0BC15572" w14:textId="253726EF" w:rsidR="00400EE4" w:rsidRPr="00883F89" w:rsidRDefault="00400EE4" w:rsidP="009B792D">
      <w:pPr>
        <w:pStyle w:val="NormalWeb"/>
        <w:spacing w:after="0"/>
        <w:rPr>
          <w:b/>
          <w:bCs/>
          <w:color w:val="000000"/>
          <w:kern w:val="24"/>
          <w:sz w:val="22"/>
          <w:szCs w:val="22"/>
        </w:rPr>
      </w:pPr>
      <w:r w:rsidRPr="00883F89">
        <w:rPr>
          <w:b/>
          <w:sz w:val="22"/>
          <w:szCs w:val="22"/>
        </w:rPr>
        <w:t xml:space="preserve">Effet 4 : </w:t>
      </w:r>
      <w:r w:rsidR="008B5495" w:rsidRPr="00883F89">
        <w:rPr>
          <w:b/>
          <w:bCs/>
          <w:color w:val="000000"/>
          <w:kern w:val="24"/>
          <w:sz w:val="22"/>
          <w:szCs w:val="22"/>
        </w:rPr>
        <w:t>La mobilisation, l’allocation, et l’utilisation efficiente des ressources financières sont améliorées</w:t>
      </w:r>
    </w:p>
    <w:tbl>
      <w:tblPr>
        <w:tblW w:w="6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1979"/>
        <w:gridCol w:w="1619"/>
        <w:gridCol w:w="1981"/>
        <w:gridCol w:w="1722"/>
      </w:tblGrid>
      <w:tr w:rsidR="00D80C8D" w:rsidRPr="00883F89" w14:paraId="1B1F88F4" w14:textId="741232C7" w:rsidTr="00442C3E">
        <w:trPr>
          <w:trHeight w:val="377"/>
          <w:jc w:val="center"/>
        </w:trPr>
        <w:tc>
          <w:tcPr>
            <w:tcW w:w="1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090F0F1" w14:textId="744F431A" w:rsidR="00D80C8D" w:rsidRPr="00883F89" w:rsidRDefault="00D80C8D" w:rsidP="00D80C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Nom de </w:t>
            </w:r>
            <w:r w:rsidRPr="00883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l’indicateur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 w:themeFill="accent3" w:themeFillTint="66"/>
          </w:tcPr>
          <w:p w14:paraId="5377F0C4" w14:textId="440DF417" w:rsidR="00D80C8D" w:rsidRPr="00883F89" w:rsidRDefault="00D80C8D" w:rsidP="00D8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558CF8F" w14:textId="729F8EB8" w:rsidR="00D80C8D" w:rsidRPr="00883F89" w:rsidRDefault="00B96097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Situation de base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DBDB" w:themeFill="accent3" w:themeFillTint="66"/>
          </w:tcPr>
          <w:p w14:paraId="006F3F6B" w14:textId="682B2065" w:rsidR="00B96097" w:rsidRPr="00883F89" w:rsidRDefault="00B96097" w:rsidP="00B9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Cibles</w:t>
            </w:r>
          </w:p>
        </w:tc>
      </w:tr>
      <w:tr w:rsidR="00B96097" w:rsidRPr="00883F89" w14:paraId="23D29019" w14:textId="5CF44631" w:rsidTr="00442C3E">
        <w:trPr>
          <w:trHeight w:val="377"/>
          <w:jc w:val="center"/>
        </w:trPr>
        <w:tc>
          <w:tcPr>
            <w:tcW w:w="1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7FD9573" w14:textId="77777777" w:rsidR="00B96097" w:rsidRPr="00C36091" w:rsidRDefault="00B96097" w:rsidP="00B9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65B2C0E" w14:textId="77777777" w:rsidR="00B96097" w:rsidRPr="00C36091" w:rsidRDefault="00B96097" w:rsidP="00B9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2B5CF4E" w14:textId="1C6AC020" w:rsidR="00B96097" w:rsidRPr="00883F89" w:rsidRDefault="00B96097" w:rsidP="00B9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Valeur de base</w:t>
            </w:r>
          </w:p>
        </w:tc>
        <w:tc>
          <w:tcPr>
            <w:tcW w:w="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3DEC258" w14:textId="11569ADF" w:rsidR="00B96097" w:rsidRPr="00883F89" w:rsidRDefault="00B96097" w:rsidP="00B96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7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235B3CC" w14:textId="77777777" w:rsidR="00B96097" w:rsidRPr="00883F89" w:rsidRDefault="00B96097" w:rsidP="00B96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33066" w:rsidRPr="00883F89" w14:paraId="6A65A917" w14:textId="77777777" w:rsidTr="00233066">
        <w:trPr>
          <w:trHeight w:val="35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2B239F0" w14:textId="2213D649" w:rsidR="00233066" w:rsidRPr="00883F89" w:rsidRDefault="00233066" w:rsidP="007879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Indicateurs d’effet</w:t>
            </w:r>
          </w:p>
        </w:tc>
      </w:tr>
      <w:tr w:rsidR="00787962" w:rsidRPr="00883F89" w14:paraId="5CB0D297" w14:textId="36409CA9" w:rsidTr="00442C3E">
        <w:trPr>
          <w:trHeight w:val="98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D1407" w14:textId="4793A55D" w:rsidR="00787962" w:rsidRPr="00883F89" w:rsidRDefault="00787962" w:rsidP="0078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Proportion de la population qui subit les dépenses catastrophiques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63759" w14:textId="523BA735" w:rsidR="00787962" w:rsidRPr="00883F89" w:rsidRDefault="00787962" w:rsidP="007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sz w:val="20"/>
                <w:szCs w:val="20"/>
              </w:rPr>
              <w:t xml:space="preserve">Analyse de la protection des ménages contre les risques financiers en santé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0CE7" w14:textId="4695D332" w:rsidR="00787962" w:rsidRPr="00883F89" w:rsidRDefault="00787962" w:rsidP="00787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7030A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3</w:t>
            </w:r>
            <w:r w:rsidR="00334B87" w:rsidRPr="00883F8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883F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03% (étude non validée au niveau national)</w:t>
            </w:r>
            <w:r w:rsidRPr="00883F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9BCE8" w14:textId="12F4BE77" w:rsidR="00787962" w:rsidRPr="00883F89" w:rsidRDefault="00B96097" w:rsidP="00787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Périodique</w:t>
            </w:r>
            <w:r w:rsidRPr="00883F89">
              <w:rPr>
                <w:rFonts w:ascii="Times New Roman" w:hAnsi="Times New Roman" w:cs="Times New Roman"/>
                <w:sz w:val="20"/>
                <w:szCs w:val="20"/>
              </w:rPr>
              <w:t xml:space="preserve"> Analyse de la protection des ménages contre les risques financiers en santé (2015)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8F976" w14:textId="77777777" w:rsidR="00B96097" w:rsidRPr="00883F89" w:rsidRDefault="00B96097" w:rsidP="00787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4F5" w:rsidRPr="00883F89" w14:paraId="4BB76715" w14:textId="57EEFB97" w:rsidTr="00442C3E">
        <w:trPr>
          <w:trHeight w:val="530"/>
          <w:jc w:val="center"/>
        </w:trPr>
        <w:tc>
          <w:tcPr>
            <w:tcW w:w="1808" w:type="pct"/>
            <w:shd w:val="clear" w:color="auto" w:fill="auto"/>
            <w:hideMark/>
          </w:tcPr>
          <w:p w14:paraId="068BE18C" w14:textId="2BB1BE38" w:rsidR="00CD1B23" w:rsidRPr="00883F89" w:rsidRDefault="00F356D3" w:rsidP="00F35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1F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Pourcentage des dépenses </w:t>
            </w:r>
            <w:r w:rsidR="00887B60" w:rsidRPr="001A1F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totales de </w:t>
            </w:r>
            <w:r w:rsidRPr="001A1F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santé financé</w:t>
            </w:r>
            <w:r w:rsidR="00AB7CCE" w:rsidRPr="001A1F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es</w:t>
            </w:r>
            <w:r w:rsidRPr="001A1F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 par </w:t>
            </w:r>
            <w:r w:rsidR="00097B8C" w:rsidRPr="001A1F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les ressources</w:t>
            </w:r>
            <w:r w:rsidRPr="001A1F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 domestiques</w:t>
            </w:r>
          </w:p>
        </w:tc>
        <w:tc>
          <w:tcPr>
            <w:tcW w:w="865" w:type="pct"/>
            <w:shd w:val="clear" w:color="auto" w:fill="auto"/>
            <w:hideMark/>
          </w:tcPr>
          <w:p w14:paraId="3F58608C" w14:textId="13AFB3B1" w:rsidR="00F356D3" w:rsidRPr="00883F89" w:rsidRDefault="00097B8C" w:rsidP="00F3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Comptes</w:t>
            </w:r>
            <w:r w:rsidR="00F356D3"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la santé</w:t>
            </w:r>
          </w:p>
        </w:tc>
        <w:tc>
          <w:tcPr>
            <w:tcW w:w="708" w:type="pct"/>
            <w:shd w:val="clear" w:color="auto" w:fill="auto"/>
            <w:hideMark/>
          </w:tcPr>
          <w:p w14:paraId="3C7CA68A" w14:textId="47FE3405" w:rsidR="00F356D3" w:rsidRPr="00883F89" w:rsidRDefault="00C36091" w:rsidP="00F35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091">
              <w:rPr>
                <w:rFonts w:ascii="Calibri" w:eastAsia="Calibri" w:hAnsi="Calibri" w:cs="Times New Roman"/>
                <w:color w:val="201F1E"/>
                <w:lang w:val="fr-CA" w:eastAsia="fr-CA"/>
              </w:rPr>
              <w:t xml:space="preserve">87.7% </w:t>
            </w:r>
            <w:r>
              <w:rPr>
                <w:rFonts w:ascii="Calibri" w:eastAsia="Calibri" w:hAnsi="Calibri" w:cs="Times New Roman"/>
                <w:color w:val="201F1E"/>
                <w:lang w:val="fr-CA" w:eastAsia="fr-CA"/>
              </w:rPr>
              <w:t xml:space="preserve"> </w:t>
            </w:r>
          </w:p>
        </w:tc>
        <w:tc>
          <w:tcPr>
            <w:tcW w:w="866" w:type="pct"/>
            <w:shd w:val="clear" w:color="auto" w:fill="auto"/>
            <w:hideMark/>
          </w:tcPr>
          <w:p w14:paraId="150DC125" w14:textId="2FF86982" w:rsidR="00F356D3" w:rsidRPr="00883F89" w:rsidRDefault="00B96097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Comptes</w:t>
            </w:r>
            <w:r w:rsidR="006E6FE5"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la santé (201</w:t>
            </w:r>
            <w:r w:rsidR="00C36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753" w:type="pct"/>
          </w:tcPr>
          <w:p w14:paraId="297A6860" w14:textId="77777777" w:rsidR="00B96097" w:rsidRPr="00883F89" w:rsidRDefault="00B96097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066" w:rsidRPr="00883F89" w14:paraId="4E7DBA78" w14:textId="77777777" w:rsidTr="00233066">
        <w:trPr>
          <w:trHeight w:val="323"/>
          <w:jc w:val="center"/>
        </w:trPr>
        <w:tc>
          <w:tcPr>
            <w:tcW w:w="5000" w:type="pct"/>
            <w:gridSpan w:val="5"/>
            <w:shd w:val="clear" w:color="auto" w:fill="D5DCE4" w:themeFill="text2" w:themeFillTint="33"/>
          </w:tcPr>
          <w:p w14:paraId="1D728C51" w14:textId="19C986F1" w:rsidR="00233066" w:rsidRPr="00AB7CCE" w:rsidRDefault="00233066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7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Indicateurs d’extrant</w:t>
            </w:r>
          </w:p>
        </w:tc>
      </w:tr>
      <w:tr w:rsidR="002D27E4" w:rsidRPr="00883F89" w14:paraId="545744E5" w14:textId="4386AB6A" w:rsidTr="00E222D2">
        <w:trPr>
          <w:trHeight w:val="53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B4FF" w14:textId="0AFC150D" w:rsidR="002D27E4" w:rsidRPr="00883F89" w:rsidRDefault="002D27E4" w:rsidP="002D2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Budget de l’état alloué </w:t>
            </w:r>
            <w:r w:rsidR="009D6E33"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 Ministère de la Santé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4C29" w14:textId="26A48D6C" w:rsidR="002D27E4" w:rsidRPr="00883F89" w:rsidRDefault="00B96097" w:rsidP="002D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D267C9"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OOST</w:t>
            </w:r>
            <w:r w:rsidR="00021375"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/Loi des Finances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C392" w14:textId="6CEF845D" w:rsidR="002D27E4" w:rsidRPr="00883F89" w:rsidRDefault="00FC3236" w:rsidP="002D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382</w:t>
            </w:r>
            <w:r w:rsidR="007C0127" w:rsidRPr="00883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,6 milliards</w:t>
            </w:r>
            <w:r w:rsidRPr="00883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0DC0" w:rsidRPr="00883F8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FCFA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897D" w14:textId="64F345EB" w:rsidR="002D27E4" w:rsidRPr="00883F89" w:rsidRDefault="00AC1E11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Budget voté initial 2019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A3F07" w14:textId="5CDB2742" w:rsidR="00B96097" w:rsidRPr="00883F89" w:rsidRDefault="00B6492B" w:rsidP="006B30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669,2 milliards FCFA </w:t>
            </w:r>
            <w:r w:rsidR="005501FD" w:rsidRPr="00883F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(2023)</w:t>
            </w:r>
          </w:p>
        </w:tc>
      </w:tr>
      <w:tr w:rsidR="002D27E4" w:rsidRPr="00883F89" w14:paraId="2D79B039" w14:textId="2F3B0626" w:rsidTr="00822AEF">
        <w:trPr>
          <w:trHeight w:val="547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D156" w14:textId="7DD41BB7" w:rsidR="002D27E4" w:rsidRPr="00C36091" w:rsidRDefault="002D27E4" w:rsidP="002D27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C360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Part des dépenses du secteur privé (hors ménages) dans les dépenses totales de santé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8477" w14:textId="1FD90549" w:rsidR="002D27E4" w:rsidRPr="00883F89" w:rsidRDefault="002D27E4" w:rsidP="002D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Comptes de la santé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BA39" w14:textId="7FD76FAC" w:rsidR="002D27E4" w:rsidRPr="00883F89" w:rsidRDefault="002D27E4" w:rsidP="002D2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12.4%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F340" w14:textId="57DC6F67" w:rsidR="002D27E4" w:rsidRPr="00883F89" w:rsidRDefault="00B96097" w:rsidP="00E9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Comptes</w:t>
            </w:r>
            <w:r w:rsidR="006E6FE5"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3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 la santé (2016)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A2F29" w14:textId="77777777" w:rsidR="00B96097" w:rsidRPr="00883F89" w:rsidRDefault="00B96097" w:rsidP="00E95A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6728A" w:rsidRPr="00883F89" w14:paraId="6A9B92DE" w14:textId="656D2857" w:rsidTr="00A334F0">
        <w:trPr>
          <w:trHeight w:val="53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C09D" w14:textId="1B6D13B6" w:rsidR="0026728A" w:rsidRPr="00AB7CCE" w:rsidRDefault="00E97482" w:rsidP="002672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C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Pourcentage des d</w:t>
            </w:r>
            <w:r w:rsidR="0026728A" w:rsidRPr="00DA0C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épense</w:t>
            </w:r>
            <w:r w:rsidR="00E83162" w:rsidRPr="00DA0C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s</w:t>
            </w:r>
            <w:r w:rsidR="0026728A" w:rsidRPr="00DA0C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 publique</w:t>
            </w:r>
            <w:r w:rsidR="00AB7CCE" w:rsidRPr="00DA0C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s</w:t>
            </w:r>
            <w:r w:rsidR="0026728A" w:rsidRPr="00DA0C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 de santé </w:t>
            </w:r>
            <w:r w:rsidR="009604B3" w:rsidRPr="00DA0C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consacré</w:t>
            </w:r>
            <w:r w:rsidR="00AB7CCE" w:rsidRPr="00DA0C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es</w:t>
            </w:r>
            <w:r w:rsidR="009604B3" w:rsidRPr="00DA0C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 aux</w:t>
            </w:r>
            <w:r w:rsidR="0026728A" w:rsidRPr="00DA0C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736774" w:rsidRPr="00DA0C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soins de santé primaires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F2A5" w14:textId="34A28C73" w:rsidR="0026728A" w:rsidRPr="00AB7CCE" w:rsidRDefault="000736D9" w:rsidP="002672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BOOST</w:t>
            </w:r>
            <w:r w:rsidR="0026728A" w:rsidRPr="00AB7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72D7" w14:textId="66EEE9D0" w:rsidR="0026728A" w:rsidRPr="000E04E4" w:rsidRDefault="00381216" w:rsidP="002672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0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A8636" w14:textId="0A3E45A9" w:rsidR="0026728A" w:rsidRPr="00C903AB" w:rsidRDefault="0026728A" w:rsidP="00E95A72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DDC7F" w14:textId="77777777" w:rsidR="00B96097" w:rsidRPr="00C903AB" w:rsidRDefault="00B96097" w:rsidP="00E95A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72EA1" w:rsidRPr="00883F89" w14:paraId="1EBF8823" w14:textId="34F67294" w:rsidTr="00442C3E">
        <w:trPr>
          <w:trHeight w:val="332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54C6" w14:textId="39594A06" w:rsidR="00472EA1" w:rsidRPr="00883F89" w:rsidRDefault="006776A4" w:rsidP="00472E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La proportion du budget du MSHP contrôlé par les districts et les </w:t>
            </w:r>
            <w:r w:rsidR="006B1B7E"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ESPC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D5EB" w14:textId="6A60FFB2" w:rsidR="00472EA1" w:rsidRPr="00883F89" w:rsidRDefault="00F2073A" w:rsidP="00472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BOOST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75BB" w14:textId="1120D8AD" w:rsidR="00472EA1" w:rsidRPr="00883F89" w:rsidRDefault="00381216" w:rsidP="00472E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ND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6D36" w14:textId="427CF1BF" w:rsidR="00472EA1" w:rsidRPr="00883F89" w:rsidRDefault="00472EA1" w:rsidP="00E9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D2F0A" w14:textId="77777777" w:rsidR="00B96097" w:rsidRPr="00883F89" w:rsidRDefault="00B96097" w:rsidP="00E95A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</w:p>
        </w:tc>
      </w:tr>
      <w:tr w:rsidR="00296A73" w:rsidRPr="00883F89" w14:paraId="5B50AC78" w14:textId="65537783" w:rsidTr="00442C3E">
        <w:trPr>
          <w:trHeight w:val="323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52F2" w14:textId="45D8DC65" w:rsidR="00296A73" w:rsidRPr="00883F89" w:rsidRDefault="00296A73" w:rsidP="00296A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Nombre de districts couverts par le programme FBP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002E" w14:textId="522C46FC" w:rsidR="00296A73" w:rsidRPr="00883F89" w:rsidRDefault="00296A73" w:rsidP="00296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Portail PBF</w:t>
            </w:r>
            <w:r w:rsidR="00CF6F31"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BEA1" w14:textId="2FC0CDF6" w:rsidR="00296A73" w:rsidRPr="00883F89" w:rsidRDefault="00296A73" w:rsidP="00296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D8C5" w14:textId="40942B6F" w:rsidR="00296A73" w:rsidRPr="00883F89" w:rsidRDefault="00CF6F31" w:rsidP="00E95A7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Portail </w:t>
            </w:r>
            <w:r w:rsidR="00A95D78"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FBP</w:t>
            </w:r>
            <w:r w:rsidR="002C435F" w:rsidRPr="00883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(2019)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E16A0" w14:textId="49BF4039" w:rsidR="0013480B" w:rsidRPr="00883F89" w:rsidRDefault="00FD7535" w:rsidP="00E95A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7030A0"/>
                <w:sz w:val="20"/>
                <w:szCs w:val="20"/>
              </w:rPr>
            </w:pPr>
            <w:r w:rsidRPr="00883F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86</w:t>
            </w:r>
            <w:r w:rsidR="00D51F55" w:rsidRPr="00883F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(</w:t>
            </w:r>
            <w:r w:rsidR="0013480B" w:rsidRPr="00883F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20</w:t>
            </w:r>
            <w:r w:rsidR="00406A8C" w:rsidRPr="00883F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23</w:t>
            </w:r>
            <w:r w:rsidR="00D51F55" w:rsidRPr="00883F8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9B792D" w:rsidRPr="00883F89" w14:paraId="47C95536" w14:textId="15078354" w:rsidTr="00822AEF">
        <w:trPr>
          <w:trHeight w:val="632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9BBC" w14:textId="6307FCD2" w:rsidR="00894941" w:rsidRPr="0077059F" w:rsidRDefault="00187B73" w:rsidP="0077059F">
            <w:pPr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77059F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Dépenses sur le budget engagé pour la prise en charge des indigents.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6C4B" w14:textId="78F78D55" w:rsidR="009B792D" w:rsidRPr="00883F89" w:rsidRDefault="009B792D" w:rsidP="009B79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059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Base de données de la CNAM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34E3" w14:textId="3B4C28E9" w:rsidR="009B792D" w:rsidRPr="00883F89" w:rsidRDefault="00CF11CA" w:rsidP="009B79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11C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ND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D8C7" w14:textId="54485A7F" w:rsidR="009B792D" w:rsidRPr="00883F89" w:rsidRDefault="0013480B" w:rsidP="00E95A72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059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Base de données de la CNAM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1C77F" w14:textId="77777777" w:rsidR="00B96097" w:rsidRPr="00883F89" w:rsidRDefault="00B96097" w:rsidP="00E9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59F" w:rsidRPr="00883F89" w14:paraId="08B2416B" w14:textId="77777777" w:rsidTr="00822AEF">
        <w:trPr>
          <w:trHeight w:val="387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4AAE" w14:textId="786AD7E2" w:rsidR="0077059F" w:rsidRPr="008A5C52" w:rsidRDefault="008A5C52" w:rsidP="00187B73">
            <w:pPr>
              <w:rPr>
                <w:rFonts w:ascii="Times New Roman" w:hAnsi="Times New Roman" w:cs="Times New Roman"/>
                <w:bCs/>
                <w:strike/>
                <w:color w:val="000000"/>
                <w:sz w:val="20"/>
                <w:szCs w:val="20"/>
              </w:rPr>
            </w:pPr>
            <w:r w:rsidRPr="008A5C52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Pourcentage des personnes du secteur informel enrôlées dans la CMU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BA5E" w14:textId="6185F828" w:rsidR="0077059F" w:rsidRPr="00883F89" w:rsidRDefault="008A5C52" w:rsidP="009B79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59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Base de données de la CNAM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9B16" w14:textId="45B138F8" w:rsidR="0077059F" w:rsidRPr="00883F89" w:rsidRDefault="008C5E6D" w:rsidP="009B79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5E6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5.59%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8D41" w14:textId="05E62952" w:rsidR="0077059F" w:rsidRPr="00883F89" w:rsidRDefault="007E5EB2" w:rsidP="00E9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59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Base de données de la CNAM</w:t>
            </w:r>
            <w:r w:rsidR="008C5E6D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(2019)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FF6F7" w14:textId="77777777" w:rsidR="0077059F" w:rsidRPr="00883F89" w:rsidRDefault="0077059F" w:rsidP="00E9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EB2" w:rsidRPr="00883F89" w14:paraId="6A75729C" w14:textId="77777777" w:rsidTr="00002D24">
        <w:trPr>
          <w:trHeight w:val="710"/>
          <w:jc w:val="center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69D9" w14:textId="2BA4157F" w:rsidR="007E5EB2" w:rsidRPr="007E5EB2" w:rsidRDefault="007E5EB2" w:rsidP="00187B73">
            <w:pPr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7E5EB2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Pourcentage des personnes du secteur informel enrôlées dans la CMU, qui ont une carte, et sont à jour avec leurs contributions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9725" w14:textId="05CA7759" w:rsidR="007E5EB2" w:rsidRPr="0077059F" w:rsidRDefault="007E5EB2" w:rsidP="009B792D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7059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Base de données de la CNAM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5410" w14:textId="31DC8E9E" w:rsidR="007E5EB2" w:rsidRPr="00883F89" w:rsidRDefault="00CF11CA" w:rsidP="009B79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11C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ND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B9AF" w14:textId="3EBA56F6" w:rsidR="007E5EB2" w:rsidRPr="00883F89" w:rsidRDefault="007E5EB2" w:rsidP="00E9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59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Base de données de la CNAM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5608B" w14:textId="77777777" w:rsidR="007E5EB2" w:rsidRPr="00883F89" w:rsidRDefault="007E5EB2" w:rsidP="00E95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E9E1B5" w14:textId="7F24C485" w:rsidR="00F9686D" w:rsidRPr="00883F89" w:rsidRDefault="00B259B4" w:rsidP="000D149F">
      <w:pPr>
        <w:rPr>
          <w:bCs/>
          <w:i/>
          <w:iCs/>
          <w:sz w:val="16"/>
          <w:szCs w:val="16"/>
        </w:rPr>
      </w:pPr>
      <w:r w:rsidRPr="00883F89">
        <w:rPr>
          <w:bCs/>
          <w:i/>
          <w:iCs/>
          <w:sz w:val="16"/>
          <w:szCs w:val="16"/>
        </w:rPr>
        <w:t>Les valeurs en italiques sont préliminaires – des discussions supplémentaires sont nécessaires</w:t>
      </w:r>
      <w:r w:rsidR="00692143" w:rsidRPr="00883F89">
        <w:rPr>
          <w:bCs/>
          <w:i/>
          <w:iCs/>
          <w:sz w:val="16"/>
          <w:szCs w:val="16"/>
        </w:rPr>
        <w:t xml:space="preserve"> pour </w:t>
      </w:r>
      <w:r w:rsidR="00745F85" w:rsidRPr="00883F89">
        <w:rPr>
          <w:bCs/>
          <w:i/>
          <w:iCs/>
          <w:sz w:val="16"/>
          <w:szCs w:val="16"/>
        </w:rPr>
        <w:t xml:space="preserve">leur </w:t>
      </w:r>
      <w:r w:rsidR="008C17BA" w:rsidRPr="00883F89">
        <w:rPr>
          <w:bCs/>
          <w:i/>
          <w:iCs/>
          <w:sz w:val="16"/>
          <w:szCs w:val="16"/>
        </w:rPr>
        <w:t xml:space="preserve">revue, </w:t>
      </w:r>
      <w:r w:rsidR="00692143" w:rsidRPr="00883F89">
        <w:rPr>
          <w:bCs/>
          <w:i/>
          <w:iCs/>
          <w:sz w:val="16"/>
          <w:szCs w:val="16"/>
        </w:rPr>
        <w:t>finalisation</w:t>
      </w:r>
      <w:r w:rsidR="00745F85" w:rsidRPr="00883F89">
        <w:rPr>
          <w:bCs/>
          <w:i/>
          <w:iCs/>
          <w:sz w:val="16"/>
          <w:szCs w:val="16"/>
        </w:rPr>
        <w:t xml:space="preserve"> et validation</w:t>
      </w:r>
      <w:r w:rsidR="0014207F" w:rsidRPr="00883F89">
        <w:rPr>
          <w:bCs/>
          <w:i/>
          <w:iCs/>
          <w:sz w:val="16"/>
          <w:szCs w:val="16"/>
        </w:rPr>
        <w:t>.</w:t>
      </w:r>
    </w:p>
    <w:p w14:paraId="32AB802E" w14:textId="77777777" w:rsidR="0010042B" w:rsidRDefault="0010042B" w:rsidP="000D149F">
      <w:pPr>
        <w:rPr>
          <w:b/>
        </w:rPr>
      </w:pPr>
    </w:p>
    <w:p w14:paraId="2B2D985F" w14:textId="77777777" w:rsidR="00822AEF" w:rsidRDefault="00822AEF" w:rsidP="000D149F">
      <w:pPr>
        <w:rPr>
          <w:b/>
        </w:rPr>
      </w:pPr>
    </w:p>
    <w:p w14:paraId="0F3B4EBB" w14:textId="77777777" w:rsidR="00822AEF" w:rsidRPr="00883F89" w:rsidRDefault="00822AEF" w:rsidP="000D149F">
      <w:pPr>
        <w:rPr>
          <w:b/>
        </w:rPr>
      </w:pPr>
      <w:bookmarkStart w:id="0" w:name="_GoBack"/>
      <w:bookmarkEnd w:id="0"/>
    </w:p>
    <w:p w14:paraId="090D2114" w14:textId="639C8A22" w:rsidR="006E72CE" w:rsidRPr="00883F89" w:rsidRDefault="006E72CE" w:rsidP="002C3518">
      <w:pPr>
        <w:pStyle w:val="Paragraphedeliste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</w:pPr>
      <w:r w:rsidRPr="00883F89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lastRenderedPageBreak/>
        <w:t>Les indicateurs du cadre des résultats</w:t>
      </w:r>
    </w:p>
    <w:p w14:paraId="70F319A6" w14:textId="30C34F38" w:rsidR="001525F4" w:rsidRPr="00883F89" w:rsidRDefault="002C3518" w:rsidP="00863D32">
      <w:pPr>
        <w:ind w:left="360" w:firstLine="360"/>
        <w:jc w:val="both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</w:pPr>
      <w:r w:rsidRPr="00883F89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3</w:t>
      </w:r>
      <w:r w:rsidR="001525F4" w:rsidRPr="00883F89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 xml:space="preserve">.1 </w:t>
      </w:r>
      <w:r w:rsidR="00A52B32" w:rsidRPr="00883F89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Le choix des indicateurs</w:t>
      </w:r>
    </w:p>
    <w:p w14:paraId="243809AE" w14:textId="03C40683" w:rsidR="002350FC" w:rsidRPr="00883F89" w:rsidRDefault="002350FC" w:rsidP="00A52B32">
      <w:pPr>
        <w:jc w:val="both"/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</w:pP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L</w:t>
      </w:r>
      <w:r w:rsidR="00A82682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a sélection des</w:t>
      </w: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indicateurs du cadre des </w:t>
      </w:r>
      <w:r w:rsidR="003A7359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résultats</w:t>
      </w: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A82682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a été faite</w:t>
      </w: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A82682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à</w:t>
      </w:r>
      <w:r w:rsidR="00C02D3C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travers un processus consultatif avec le</w:t>
      </w:r>
      <w:r w:rsidR="005F17E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s </w:t>
      </w:r>
      <w:r w:rsidR="003A7359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différentes</w:t>
      </w:r>
      <w:r w:rsidR="005F17E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structures du </w:t>
      </w:r>
      <w:r w:rsidR="003A7359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Ministère</w:t>
      </w:r>
      <w:r w:rsidR="005F17E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de la Sant</w:t>
      </w:r>
      <w:r w:rsidR="00BE709E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é</w:t>
      </w:r>
      <w:r w:rsidR="00C16C81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, la CNAM</w:t>
      </w:r>
      <w:r w:rsidR="003A7359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, l’UCP-</w:t>
      </w:r>
      <w:r w:rsidR="00151CE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Santé </w:t>
      </w:r>
      <w:r w:rsidR="003A7359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B</w:t>
      </w:r>
      <w:r w:rsidR="00151CE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anque </w:t>
      </w:r>
      <w:r w:rsidR="003A7359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M</w:t>
      </w:r>
      <w:r w:rsidR="00151CE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ondial</w:t>
      </w:r>
      <w:r w:rsidR="006B6853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, ainsi que les </w:t>
      </w:r>
      <w:r w:rsidR="00D6772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membres</w:t>
      </w:r>
      <w:r w:rsidR="006B6853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de la </w:t>
      </w:r>
      <w:r w:rsidR="00D6772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Société</w:t>
      </w:r>
      <w:r w:rsidR="006B6853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Civile, </w:t>
      </w:r>
      <w:r w:rsidR="00274443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du</w:t>
      </w:r>
      <w:r w:rsidR="006B6853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Secteur Priv</w:t>
      </w:r>
      <w:r w:rsidR="00704711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é</w:t>
      </w:r>
      <w:r w:rsidR="006B6853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, et les </w:t>
      </w:r>
      <w:r w:rsidR="00704711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P</w:t>
      </w:r>
      <w:r w:rsidR="006B6853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artenaires </w:t>
      </w:r>
      <w:r w:rsidR="00704711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T</w:t>
      </w:r>
      <w:r w:rsidR="006B6853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echniques et </w:t>
      </w:r>
      <w:r w:rsidR="00704711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F</w:t>
      </w:r>
      <w:r w:rsidR="006B6853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inanciers</w:t>
      </w:r>
      <w:r w:rsidR="003A7359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.</w:t>
      </w:r>
      <w:r w:rsidR="007221C9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274443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Le cadre de résultats est aligné</w:t>
      </w:r>
      <w:r w:rsidR="00737D03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av</w:t>
      </w:r>
      <w:r w:rsidR="009469BC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ec la </w:t>
      </w:r>
      <w:r w:rsidR="00046F53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théorie</w:t>
      </w:r>
      <w:r w:rsidR="009469BC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du changement</w:t>
      </w:r>
      <w:r w:rsidR="00046F53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pour s’assurer que les indicateurs sont disponible</w:t>
      </w:r>
      <w:r w:rsidR="00274443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s</w:t>
      </w:r>
      <w:r w:rsidR="00046F53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pour mesurer le changement tout au long de la voie causale</w:t>
      </w:r>
      <w:r w:rsidR="004254A5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. Les</w:t>
      </w:r>
      <w:r w:rsidR="00FB4751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activités prévues dans le plan de mise en œuvre du Dossier d’Investissement</w:t>
      </w:r>
      <w:r w:rsidR="004254A5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sont aussi </w:t>
      </w:r>
      <w:r w:rsidR="00927E43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alignées</w:t>
      </w:r>
      <w:r w:rsidR="004254A5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FF0B67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à</w:t>
      </w:r>
      <w:r w:rsidR="004254A5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la</w:t>
      </w:r>
      <w:r w:rsidR="00416976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théorie de </w:t>
      </w:r>
      <w:r w:rsidR="005F06A5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changement. Ainsi</w:t>
      </w:r>
      <w:r w:rsidR="00C40705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,</w:t>
      </w:r>
      <w:r w:rsidR="00AA7899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le cadre des résultats </w:t>
      </w:r>
      <w:r w:rsidR="00CD7D73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inclut</w:t>
      </w:r>
      <w:r w:rsidR="00AA7899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non seulement des indicateurs programmatiques couvrant l'offre, la demande, l'utilisation des services SRMNIA-N, et le renforcement du système de santé, mais aussi des indicateurs associés aux réformes de financement de la santé.</w:t>
      </w:r>
      <w:r w:rsidR="00CD7D73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D50118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De plus, l</w:t>
      </w:r>
      <w:r w:rsidR="0037244A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es indicateurs retenus sont </w:t>
      </w:r>
      <w:r w:rsidR="00B36D6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alignés</w:t>
      </w:r>
      <w:r w:rsidR="0037244A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B36D6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avec</w:t>
      </w:r>
      <w:r w:rsidR="006D3B30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d’autres </w:t>
      </w:r>
      <w:r w:rsidR="00D26F3C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cadres</w:t>
      </w:r>
      <w:r w:rsidR="006D3B30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de </w:t>
      </w:r>
      <w:r w:rsidR="00B36D6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résultats</w:t>
      </w:r>
      <w:r w:rsidR="006D3B30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B36D6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pertinents </w:t>
      </w:r>
      <w:r w:rsidR="006D3B30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existants tels que celui du PNDS</w:t>
      </w:r>
      <w:r w:rsidR="004849A6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, du Budget Programme, et</w:t>
      </w:r>
      <w:r w:rsidR="006D3B30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du projet </w:t>
      </w:r>
      <w:r w:rsidR="00D157D3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SPARK </w:t>
      </w:r>
      <w:r w:rsidR="006D3B30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de la Banque Mondiale</w:t>
      </w:r>
      <w:r w:rsidR="006F5F7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,</w:t>
      </w:r>
      <w:r w:rsidR="006D3B30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co-financ</w:t>
      </w:r>
      <w:r w:rsidR="004849A6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é</w:t>
      </w:r>
      <w:r w:rsidR="006D3B30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par le GFF</w:t>
      </w:r>
      <w:r w:rsidR="004849A6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.</w:t>
      </w:r>
    </w:p>
    <w:p w14:paraId="473C0C77" w14:textId="0AEA6404" w:rsidR="00243D3E" w:rsidRPr="00883F89" w:rsidRDefault="00A52B32" w:rsidP="00243D3E">
      <w:pPr>
        <w:jc w:val="both"/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</w:pP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Le cadre de résultats contient au total </w:t>
      </w:r>
      <w:r w:rsidR="001F5AE1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5</w:t>
      </w:r>
      <w:r w:rsidR="003B51C1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2</w:t>
      </w: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indicateurs</w:t>
      </w:r>
      <w:r w:rsidR="00E358C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BA3D57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(sans compter les indicateurs de proxy)</w:t>
      </w: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dont </w:t>
      </w:r>
      <w:r w:rsidR="003B51C1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6</w:t>
      </w: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indicateurs d’impact, </w:t>
      </w:r>
      <w:r w:rsidR="00E521EF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17</w:t>
      </w: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indicateurs d’effets, et </w:t>
      </w:r>
      <w:r w:rsidR="003B51C1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29</w:t>
      </w: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indicateurs d’extrants. </w:t>
      </w:r>
      <w:r w:rsidR="00787906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Il</w:t>
      </w:r>
      <w:r w:rsidR="005148F4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B2536C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présente un bon équilibre entre</w:t>
      </w:r>
      <w:r w:rsidR="00FF471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 </w:t>
      </w:r>
      <w:r w:rsidR="00B2536C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les indi</w:t>
      </w:r>
      <w:r w:rsidR="00FF471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cateurs qui proviennent des enquêtes </w:t>
      </w:r>
      <w:r w:rsidR="00545A5E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pour lesquels les données sont plus robuste</w:t>
      </w:r>
      <w:r w:rsidR="00C4746F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s</w:t>
      </w:r>
      <w:r w:rsidR="00545A5E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mais moins </w:t>
      </w:r>
      <w:r w:rsidR="00966CB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fréquents</w:t>
      </w:r>
      <w:r w:rsidR="00545A5E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et les indicateurs de routine provenant des </w:t>
      </w:r>
      <w:r w:rsidR="00966CB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systèmes</w:t>
      </w:r>
      <w:r w:rsidR="00545A5E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d’informations nationaux</w:t>
      </w:r>
      <w:r w:rsidR="00966CB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qui sont collectés plus </w:t>
      </w:r>
      <w:r w:rsidR="00563CB3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fréquemment</w:t>
      </w:r>
      <w:r w:rsidR="00D91B13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. Cet</w:t>
      </w:r>
      <w:r w:rsidR="00A57CB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te distribution des indicateurs permet d’une part d’effectuer des </w:t>
      </w:r>
      <w:r w:rsidR="008144C2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revues</w:t>
      </w:r>
      <w:r w:rsidR="009A4819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fréquentes</w:t>
      </w:r>
      <w:r w:rsidR="008144C2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FD234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et d’autre part d’utiliser les données robustes</w:t>
      </w:r>
      <w:r w:rsidR="00222FB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et fiables</w:t>
      </w:r>
      <w:r w:rsidR="00FD234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des </w:t>
      </w:r>
      <w:r w:rsidR="009A5F7F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enquêtes</w:t>
      </w:r>
      <w:r w:rsidR="00FD234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pour confirmer </w:t>
      </w:r>
      <w:r w:rsidR="00004037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les progrès observés</w:t>
      </w:r>
      <w:r w:rsidR="009A5F7F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.</w:t>
      </w:r>
    </w:p>
    <w:p w14:paraId="5085C01C" w14:textId="44D283FB" w:rsidR="00F40F3E" w:rsidRPr="00883F89" w:rsidRDefault="00F40F3E" w:rsidP="00243D3E">
      <w:pPr>
        <w:jc w:val="both"/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</w:pP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Les </w:t>
      </w:r>
      <w:r w:rsidR="00FC65E4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données des </w:t>
      </w: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indicateur</w:t>
      </w:r>
      <w:r w:rsidR="00CC1023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s d’impact ainsi que autres indicateurs d’</w:t>
      </w:r>
      <w:r w:rsidR="00FC65E4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enquêtes</w:t>
      </w:r>
      <w:r w:rsidR="00CC1023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provienne</w:t>
      </w:r>
      <w:r w:rsidR="00FC65E4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nt de l’EDS/MICS, d</w:t>
      </w:r>
      <w:r w:rsidR="00E4720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e l’</w:t>
      </w:r>
      <w:r w:rsidR="0051658E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enquête</w:t>
      </w:r>
      <w:r w:rsidR="00FC65E4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SARA</w:t>
      </w:r>
      <w:r w:rsidR="00CB5B5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, et de </w:t>
      </w:r>
      <w:r w:rsidR="00675B15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l’enquête</w:t>
      </w:r>
      <w:r w:rsidR="00CB5B5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sur le niveau de vie des ménages.</w:t>
      </w:r>
    </w:p>
    <w:p w14:paraId="099C9329" w14:textId="43E3CD1C" w:rsidR="00D46467" w:rsidRPr="00883F89" w:rsidRDefault="00B46228" w:rsidP="00D46467">
      <w:pPr>
        <w:jc w:val="both"/>
        <w:rPr>
          <w:rFonts w:ascii="Times New Roman" w:eastAsia="Times New Roman" w:hAnsi="Times New Roman" w:cs="Times New Roman"/>
          <w:bCs/>
          <w:iCs/>
          <w:color w:val="000000" w:themeColor="text1"/>
        </w:rPr>
      </w:pP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La </w:t>
      </w:r>
      <w:r w:rsidR="005A0CB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sélection</w:t>
      </w: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des indicateurs de routine </w:t>
      </w:r>
      <w:r w:rsidR="00E45C67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était </w:t>
      </w:r>
      <w:r w:rsidR="00BA3D57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fondée</w:t>
      </w:r>
      <w:r w:rsidR="00E45C67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sur </w:t>
      </w:r>
      <w:r w:rsidR="00F0139A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une </w:t>
      </w:r>
      <w:r w:rsidR="00675B15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analyse </w:t>
      </w:r>
      <w:r w:rsidR="00BB5C0F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technique profonde des</w:t>
      </w:r>
      <w:r w:rsidR="00E45C67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différentes sources de données disponibles</w:t>
      </w:r>
      <w:r w:rsidR="00BB48A6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pour produire un cadre de </w:t>
      </w:r>
      <w:r w:rsidR="00CD508E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résultat</w:t>
      </w:r>
      <w:r w:rsidR="00BB48A6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réaliste</w:t>
      </w:r>
      <w:r w:rsidR="00CD508E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qui peut être suivi tout au long de la mise en œuvre du DI</w:t>
      </w:r>
      <w:r w:rsidR="005A0CB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. </w:t>
      </w:r>
      <w:r w:rsidR="00DC2E38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En </w:t>
      </w:r>
      <w:r w:rsidR="00D6018A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Côte</w:t>
      </w:r>
      <w:r w:rsidR="005F6778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d’Ivoire, il existe </w:t>
      </w:r>
      <w:r w:rsidR="00383F1F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plusieurs </w:t>
      </w:r>
      <w:r w:rsidR="0075214A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systèmes</w:t>
      </w:r>
      <w:r w:rsidR="005F6778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383F1F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d’informations de routine </w:t>
      </w:r>
      <w:r w:rsidR="005F6778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qui ne sont pas encore intégrés/interreliés au </w:t>
      </w:r>
      <w:r w:rsidR="00D6018A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système national d’informations sanitaire (SNIS) </w:t>
      </w:r>
      <w:r w:rsidR="00383F1F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qui utilise l’outil </w:t>
      </w:r>
      <w:r w:rsidR="005F6778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DHIS2.</w:t>
      </w:r>
      <w:r w:rsidR="0075214A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DF3AFE" w:rsidRPr="00883F89">
        <w:rPr>
          <w:rFonts w:ascii="Times New Roman" w:eastAsia="Times New Roman" w:hAnsi="Times New Roman" w:cs="Times New Roman"/>
          <w:bCs/>
          <w:iCs/>
          <w:color w:val="000000" w:themeColor="text1"/>
        </w:rPr>
        <w:t>Ainsi</w:t>
      </w:r>
      <w:r w:rsidR="00D46467" w:rsidRPr="00883F89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le suivi du DI s’appui</w:t>
      </w:r>
      <w:r w:rsidR="00883F89" w:rsidRPr="00883F89">
        <w:rPr>
          <w:rFonts w:ascii="Times New Roman" w:eastAsia="Times New Roman" w:hAnsi="Times New Roman" w:cs="Times New Roman"/>
          <w:bCs/>
          <w:iCs/>
          <w:color w:val="000000" w:themeColor="text1"/>
        </w:rPr>
        <w:t>e</w:t>
      </w:r>
      <w:r w:rsidR="00D46467" w:rsidRPr="00883F89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sur plusieurs sources de données :</w:t>
      </w:r>
    </w:p>
    <w:p w14:paraId="7A6C1A18" w14:textId="1F07CEFD" w:rsidR="002A4869" w:rsidRPr="00883F89" w:rsidRDefault="00D1527D" w:rsidP="00D46467">
      <w:pPr>
        <w:pStyle w:val="Paragraphedeliste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</w:pP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SNIS</w:t>
      </w:r>
      <w:r w:rsidR="002F44E2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 : </w:t>
      </w:r>
      <w:r w:rsidR="004A5830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source de</w:t>
      </w:r>
      <w:r w:rsidR="002F44E2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B965EF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données</w:t>
      </w:r>
      <w:r w:rsidR="002F44E2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764C8E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pour les indicateurs </w:t>
      </w:r>
      <w:r w:rsidR="00EA2F1A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de routine sur l’utilisation des services de santé </w:t>
      </w:r>
      <w:r w:rsidR="00DC601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ainsi que les activités des agents de santé communautaire </w:t>
      </w:r>
      <w:r w:rsidR="004A5830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rap</w:t>
      </w:r>
      <w:r w:rsidR="0030613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portés dans le</w:t>
      </w: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DHIS2 </w:t>
      </w:r>
    </w:p>
    <w:p w14:paraId="1FC99416" w14:textId="71470F9D" w:rsidR="00A725D5" w:rsidRPr="00883F89" w:rsidRDefault="00542EAE" w:rsidP="002A4869">
      <w:pPr>
        <w:pStyle w:val="Paragraphedeliste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</w:pP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DVDMT</w:t>
      </w:r>
      <w:r w:rsidR="0030613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 : source de </w:t>
      </w:r>
      <w:r w:rsidR="00B965EF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données</w:t>
      </w:r>
      <w:r w:rsidR="000D533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sur la vaccination </w:t>
      </w:r>
      <w:r w:rsidR="0030613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provenant</w:t>
      </w:r>
      <w:r w:rsidR="0002579F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d</w:t>
      </w:r>
      <w:r w:rsidR="000D533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u Programme National </w:t>
      </w:r>
      <w:r w:rsidR="00411A98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E</w:t>
      </w:r>
      <w:r w:rsidR="00BD4B96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largi</w:t>
      </w:r>
      <w:r w:rsidR="00411A98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de</w:t>
      </w:r>
      <w:r w:rsidR="000D533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Vaccination </w:t>
      </w:r>
      <w:r w:rsidR="00411A98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(PEV)</w:t>
      </w:r>
    </w:p>
    <w:p w14:paraId="6B6AE8D2" w14:textId="40336607" w:rsidR="00542EAE" w:rsidRPr="00883F89" w:rsidRDefault="00A725D5" w:rsidP="002A4869">
      <w:pPr>
        <w:pStyle w:val="Paragraphedeliste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</w:pP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D</w:t>
      </w:r>
      <w:r w:rsidR="00542EAE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onnées logistiques du </w:t>
      </w:r>
      <w:r w:rsidR="000D533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Programme National de </w:t>
      </w:r>
      <w:r w:rsidR="00411A98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Lutte contre le Sida (PNLS</w:t>
      </w:r>
      <w:r w:rsidR="00333CC4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)</w:t>
      </w:r>
      <w:r w:rsidR="002F44E2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 : </w:t>
      </w: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source de </w:t>
      </w:r>
      <w:r w:rsidR="00523B23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données</w:t>
      </w: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sur le</w:t>
      </w:r>
      <w:r w:rsidR="000D533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VIH</w:t>
      </w:r>
      <w:r w:rsidR="00542EAE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</w:t>
      </w:r>
    </w:p>
    <w:p w14:paraId="1BE92D88" w14:textId="7D1C99FD" w:rsidR="00AE67E3" w:rsidRPr="00883F89" w:rsidRDefault="00FC2ABF" w:rsidP="002A4869">
      <w:pPr>
        <w:pStyle w:val="Paragraphedeliste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</w:pP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E</w:t>
      </w:r>
      <w:r w:rsidR="0088351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-SGL</w:t>
      </w:r>
      <w:r w:rsidR="0092321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et données administratives PNDAP</w:t>
      </w:r>
      <w:r w:rsidR="00C9063E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 : </w:t>
      </w:r>
      <w:r w:rsidR="001676E0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source de</w:t>
      </w:r>
      <w:r w:rsidR="00C9063E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E677BA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données</w:t>
      </w:r>
      <w:r w:rsidR="00C9063E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sur la chaine d’approvisionnement </w:t>
      </w:r>
    </w:p>
    <w:p w14:paraId="447AF80B" w14:textId="114AE7EA" w:rsidR="002E20DF" w:rsidRPr="00883F89" w:rsidRDefault="002E20DF" w:rsidP="005C50C8">
      <w:pPr>
        <w:pStyle w:val="Paragraphedeliste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</w:pP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Données administratives DMHP : </w:t>
      </w:r>
      <w:r w:rsidR="00985F28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source de</w:t>
      </w:r>
      <w:r w:rsidR="003F4C04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données sur le processus de </w:t>
      </w:r>
      <w:r w:rsidR="00ED74A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développement</w:t>
      </w:r>
      <w:r w:rsidR="003F4C04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des nouveaux outils harmonisés d’assurance qualité</w:t>
      </w:r>
      <w:r w:rsidR="00ED74A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. </w:t>
      </w:r>
    </w:p>
    <w:p w14:paraId="1FD873E7" w14:textId="2556275F" w:rsidR="00ED74AD" w:rsidRPr="00883F89" w:rsidRDefault="00ED74AD" w:rsidP="005C50C8">
      <w:pPr>
        <w:pStyle w:val="Paragraphedeliste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</w:pP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Base de données de la CNAM : </w:t>
      </w:r>
      <w:r w:rsidR="005D2BF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source de</w:t>
      </w:r>
      <w:r w:rsidR="004217D3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données sur la Couverture Maladie Universelle </w:t>
      </w:r>
    </w:p>
    <w:p w14:paraId="383CDEE9" w14:textId="1E2AD272" w:rsidR="00ED74AD" w:rsidRPr="00883F89" w:rsidRDefault="00ED74AD" w:rsidP="005C50C8">
      <w:pPr>
        <w:pStyle w:val="Paragraphedeliste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</w:pP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Portail FBP</w:t>
      </w:r>
      <w:r w:rsidR="004217D3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 : </w:t>
      </w:r>
      <w:r w:rsidR="00827904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source de données pour les indicateurs</w:t>
      </w:r>
      <w:r w:rsidR="0071036A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provenant du programme FBP</w:t>
      </w:r>
    </w:p>
    <w:p w14:paraId="6BD82F23" w14:textId="4E2EFC2F" w:rsidR="00840A45" w:rsidRPr="00883F89" w:rsidRDefault="00840A45" w:rsidP="00A52B32">
      <w:pPr>
        <w:pStyle w:val="Paragraphedeliste"/>
        <w:numPr>
          <w:ilvl w:val="0"/>
          <w:numId w:val="14"/>
        </w:numPr>
        <w:jc w:val="both"/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</w:pP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Carte Sanitaire dynamique</w:t>
      </w:r>
      <w:r w:rsidR="008B435F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 : </w:t>
      </w:r>
      <w:r w:rsidR="00827A07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source de données pour </w:t>
      </w:r>
      <w:r w:rsidR="00354F29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certains</w:t>
      </w:r>
      <w:r w:rsidR="00827A07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indicateurs sur les ressources humaines</w:t>
      </w:r>
      <w:r w:rsidR="00DC3625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et la disponibilité des équipements dans les établissements sanitaires. </w:t>
      </w:r>
      <w:r w:rsidR="00827A07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DC3625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L</w:t>
      </w:r>
      <w:r w:rsidR="00357F99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es données de la CSD seront disponibles à partir de 2020.</w:t>
      </w:r>
    </w:p>
    <w:p w14:paraId="7B8D848B" w14:textId="0DD7C90B" w:rsidR="00BD4B96" w:rsidRPr="00883F89" w:rsidRDefault="00BD4B96" w:rsidP="00BD4B96">
      <w:pPr>
        <w:jc w:val="both"/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</w:pP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Les indicateurs </w:t>
      </w:r>
      <w:r w:rsidR="00B558D2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sur le financement de la santé</w:t>
      </w:r>
      <w:r w:rsidR="007E254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ont été sélectionnés en fonction des sources de données disponibles pour couvrir l’</w:t>
      </w:r>
      <w:r w:rsidR="0095367A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étendu</w:t>
      </w:r>
      <w:r w:rsidR="007E254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des reformes </w:t>
      </w:r>
      <w:r w:rsidR="0095367A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qui seront mis </w:t>
      </w:r>
      <w:r w:rsidR="001143A9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à</w:t>
      </w:r>
      <w:r w:rsidR="0095367A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l’échelle </w:t>
      </w:r>
      <w:r w:rsidR="001143A9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à</w:t>
      </w:r>
      <w:r w:rsidR="0095367A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travers la mise en œuvre du DI.</w:t>
      </w:r>
      <w:r w:rsidR="007E254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DB390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Les </w:t>
      </w:r>
      <w:r w:rsidR="001143A9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différentes</w:t>
      </w:r>
      <w:r w:rsidR="00DB390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C0274F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sources de </w:t>
      </w:r>
      <w:r w:rsidR="001143A9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données</w:t>
      </w:r>
      <w:r w:rsidR="00C0274F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sont : les comptes de la santé, </w:t>
      </w:r>
      <w:r w:rsidR="00126282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l’outil BOOST</w:t>
      </w:r>
      <w:r w:rsidR="001143A9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,</w:t>
      </w:r>
      <w:r w:rsidR="00C0274F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l’Analyse de la protection </w:t>
      </w:r>
      <w:r w:rsidR="00C0274F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lastRenderedPageBreak/>
        <w:t>des ménages contre les risques financiers en santé, et l’Enquête Harmonisée sur les Conditions de Vie des Ménages.</w:t>
      </w:r>
    </w:p>
    <w:p w14:paraId="2A485050" w14:textId="77777777" w:rsidR="0008546C" w:rsidRPr="00883F89" w:rsidRDefault="0008546C" w:rsidP="00BD4B96">
      <w:pPr>
        <w:jc w:val="both"/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</w:pPr>
    </w:p>
    <w:p w14:paraId="209E0437" w14:textId="17BF9EBC" w:rsidR="006C1045" w:rsidRPr="00883F89" w:rsidRDefault="00246699" w:rsidP="0008546C">
      <w:pPr>
        <w:pStyle w:val="Paragraphedeliste"/>
        <w:numPr>
          <w:ilvl w:val="1"/>
          <w:numId w:val="13"/>
        </w:numPr>
        <w:rPr>
          <w:rFonts w:ascii="Times New Roman" w:hAnsi="Times New Roman" w:cs="Times New Roman"/>
          <w:b/>
        </w:rPr>
      </w:pPr>
      <w:r w:rsidRPr="00883F89">
        <w:rPr>
          <w:rFonts w:ascii="Times New Roman" w:hAnsi="Times New Roman" w:cs="Times New Roman"/>
          <w:b/>
        </w:rPr>
        <w:t>Valeurs cibles</w:t>
      </w:r>
    </w:p>
    <w:p w14:paraId="32D693BF" w14:textId="4B4B091F" w:rsidR="00B13C1A" w:rsidRPr="00883F89" w:rsidRDefault="00B13C1A">
      <w:pPr>
        <w:rPr>
          <w:rFonts w:ascii="Times New Roman" w:hAnsi="Times New Roman" w:cs="Times New Roman"/>
        </w:rPr>
      </w:pPr>
      <w:r w:rsidRPr="00883F89">
        <w:rPr>
          <w:rFonts w:ascii="Times New Roman" w:hAnsi="Times New Roman" w:cs="Times New Roman"/>
        </w:rPr>
        <w:t xml:space="preserve">Les estimations des valeurs cibles </w:t>
      </w:r>
      <w:r w:rsidR="00B45825" w:rsidRPr="00883F89">
        <w:rPr>
          <w:rFonts w:ascii="Times New Roman" w:hAnsi="Times New Roman" w:cs="Times New Roman"/>
        </w:rPr>
        <w:t xml:space="preserve">pour les indicateurs d’impact </w:t>
      </w:r>
      <w:r w:rsidR="00E41C94" w:rsidRPr="00883F89">
        <w:rPr>
          <w:rFonts w:ascii="Times New Roman" w:hAnsi="Times New Roman" w:cs="Times New Roman"/>
        </w:rPr>
        <w:t>et autres indicateurs programmati</w:t>
      </w:r>
      <w:r w:rsidR="00F511C4" w:rsidRPr="00883F89">
        <w:rPr>
          <w:rFonts w:ascii="Times New Roman" w:hAnsi="Times New Roman" w:cs="Times New Roman"/>
        </w:rPr>
        <w:t xml:space="preserve">ques sur la santé </w:t>
      </w:r>
      <w:r w:rsidR="00BF2FCE" w:rsidRPr="00883F89">
        <w:rPr>
          <w:rFonts w:ascii="Times New Roman" w:hAnsi="Times New Roman" w:cs="Times New Roman"/>
        </w:rPr>
        <w:t>mère</w:t>
      </w:r>
      <w:r w:rsidR="00F511C4" w:rsidRPr="00883F89">
        <w:rPr>
          <w:rFonts w:ascii="Times New Roman" w:hAnsi="Times New Roman" w:cs="Times New Roman"/>
        </w:rPr>
        <w:t>-enfant et la nutrition</w:t>
      </w:r>
      <w:r w:rsidR="0031307B" w:rsidRPr="00883F89">
        <w:rPr>
          <w:rFonts w:ascii="Times New Roman" w:hAnsi="Times New Roman" w:cs="Times New Roman"/>
        </w:rPr>
        <w:t xml:space="preserve"> proviennent de l</w:t>
      </w:r>
      <w:r w:rsidR="00455F93" w:rsidRPr="00883F89">
        <w:rPr>
          <w:rFonts w:ascii="Times New Roman" w:hAnsi="Times New Roman" w:cs="Times New Roman"/>
        </w:rPr>
        <w:t xml:space="preserve">a </w:t>
      </w:r>
      <w:r w:rsidR="0031307B" w:rsidRPr="00883F89">
        <w:rPr>
          <w:rFonts w:ascii="Times New Roman" w:hAnsi="Times New Roman" w:cs="Times New Roman"/>
        </w:rPr>
        <w:t xml:space="preserve">modélisation OneHealth </w:t>
      </w:r>
      <w:r w:rsidR="00455F93" w:rsidRPr="00883F89">
        <w:rPr>
          <w:rFonts w:ascii="Times New Roman" w:hAnsi="Times New Roman" w:cs="Times New Roman"/>
        </w:rPr>
        <w:t xml:space="preserve">/ </w:t>
      </w:r>
      <w:r w:rsidR="0031307B" w:rsidRPr="00883F89">
        <w:rPr>
          <w:rFonts w:ascii="Times New Roman" w:hAnsi="Times New Roman" w:cs="Times New Roman"/>
        </w:rPr>
        <w:t xml:space="preserve">EQUIST qui a été effectuée lors du </w:t>
      </w:r>
      <w:r w:rsidR="007E0F4F" w:rsidRPr="00883F89">
        <w:rPr>
          <w:rFonts w:ascii="Times New Roman" w:hAnsi="Times New Roman" w:cs="Times New Roman"/>
        </w:rPr>
        <w:t>développement du DI</w:t>
      </w:r>
      <w:r w:rsidR="00F511C4" w:rsidRPr="00883F89">
        <w:rPr>
          <w:rFonts w:ascii="Times New Roman" w:hAnsi="Times New Roman" w:cs="Times New Roman"/>
        </w:rPr>
        <w:t xml:space="preserve">. Les </w:t>
      </w:r>
      <w:r w:rsidR="006644D1" w:rsidRPr="00883F89">
        <w:rPr>
          <w:rFonts w:ascii="Times New Roman" w:hAnsi="Times New Roman" w:cs="Times New Roman"/>
        </w:rPr>
        <w:t xml:space="preserve">cibles </w:t>
      </w:r>
      <w:r w:rsidR="004D4B80" w:rsidRPr="00883F89">
        <w:rPr>
          <w:rFonts w:ascii="Times New Roman" w:hAnsi="Times New Roman" w:cs="Times New Roman"/>
        </w:rPr>
        <w:t>des autres</w:t>
      </w:r>
      <w:r w:rsidR="006644D1" w:rsidRPr="00883F89">
        <w:rPr>
          <w:rFonts w:ascii="Times New Roman" w:hAnsi="Times New Roman" w:cs="Times New Roman"/>
        </w:rPr>
        <w:t xml:space="preserve"> in</w:t>
      </w:r>
      <w:r w:rsidR="00A720C3" w:rsidRPr="00883F89">
        <w:rPr>
          <w:rFonts w:ascii="Times New Roman" w:hAnsi="Times New Roman" w:cs="Times New Roman"/>
        </w:rPr>
        <w:t>d</w:t>
      </w:r>
      <w:r w:rsidR="006644D1" w:rsidRPr="00883F89">
        <w:rPr>
          <w:rFonts w:ascii="Times New Roman" w:hAnsi="Times New Roman" w:cs="Times New Roman"/>
        </w:rPr>
        <w:t xml:space="preserve">icateurs </w:t>
      </w:r>
      <w:r w:rsidR="004D4B80" w:rsidRPr="00883F89">
        <w:rPr>
          <w:rFonts w:ascii="Times New Roman" w:hAnsi="Times New Roman" w:cs="Times New Roman"/>
        </w:rPr>
        <w:t xml:space="preserve">sont </w:t>
      </w:r>
      <w:r w:rsidR="00EC0695" w:rsidRPr="00883F89">
        <w:rPr>
          <w:rFonts w:ascii="Times New Roman" w:hAnsi="Times New Roman" w:cs="Times New Roman"/>
        </w:rPr>
        <w:t>basées</w:t>
      </w:r>
      <w:r w:rsidR="004D4B80" w:rsidRPr="00883F89">
        <w:rPr>
          <w:rFonts w:ascii="Times New Roman" w:hAnsi="Times New Roman" w:cs="Times New Roman"/>
        </w:rPr>
        <w:t xml:space="preserve"> sur </w:t>
      </w:r>
      <w:r w:rsidR="00FC4939" w:rsidRPr="00883F89">
        <w:rPr>
          <w:rFonts w:ascii="Times New Roman" w:hAnsi="Times New Roman" w:cs="Times New Roman"/>
        </w:rPr>
        <w:t xml:space="preserve">les </w:t>
      </w:r>
      <w:r w:rsidR="005F06A5" w:rsidRPr="00883F89">
        <w:rPr>
          <w:rFonts w:ascii="Times New Roman" w:hAnsi="Times New Roman" w:cs="Times New Roman"/>
        </w:rPr>
        <w:t>données</w:t>
      </w:r>
      <w:r w:rsidR="00FC4939" w:rsidRPr="00883F89">
        <w:rPr>
          <w:rFonts w:ascii="Times New Roman" w:hAnsi="Times New Roman" w:cs="Times New Roman"/>
        </w:rPr>
        <w:t xml:space="preserve"> obtenues des </w:t>
      </w:r>
      <w:r w:rsidR="005F06A5" w:rsidRPr="00883F89">
        <w:rPr>
          <w:rFonts w:ascii="Times New Roman" w:hAnsi="Times New Roman" w:cs="Times New Roman"/>
        </w:rPr>
        <w:t>différents</w:t>
      </w:r>
      <w:r w:rsidR="001E0FAC" w:rsidRPr="00883F89">
        <w:rPr>
          <w:rFonts w:ascii="Times New Roman" w:hAnsi="Times New Roman" w:cs="Times New Roman"/>
        </w:rPr>
        <w:t xml:space="preserve"> programmes (</w:t>
      </w:r>
      <w:r w:rsidR="005F1A72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l’UCP-Santé Banque Mondial</w:t>
      </w:r>
      <w:r w:rsidR="00A720C3" w:rsidRPr="00883F89">
        <w:rPr>
          <w:rFonts w:ascii="Times New Roman" w:hAnsi="Times New Roman" w:cs="Times New Roman"/>
        </w:rPr>
        <w:t xml:space="preserve">, </w:t>
      </w:r>
      <w:r w:rsidR="001E0FAC" w:rsidRPr="00883F89">
        <w:rPr>
          <w:rFonts w:ascii="Times New Roman" w:hAnsi="Times New Roman" w:cs="Times New Roman"/>
        </w:rPr>
        <w:t xml:space="preserve">le </w:t>
      </w:r>
      <w:r w:rsidR="009F554A" w:rsidRPr="00883F89">
        <w:rPr>
          <w:rFonts w:ascii="Times New Roman" w:hAnsi="Times New Roman" w:cs="Times New Roman"/>
        </w:rPr>
        <w:t xml:space="preserve">PNDAP, et </w:t>
      </w:r>
      <w:r w:rsidR="001E0FAC" w:rsidRPr="00883F89">
        <w:rPr>
          <w:rFonts w:ascii="Times New Roman" w:hAnsi="Times New Roman" w:cs="Times New Roman"/>
        </w:rPr>
        <w:t>la DRH)</w:t>
      </w:r>
      <w:r w:rsidR="00C516DC" w:rsidRPr="00883F89">
        <w:rPr>
          <w:rFonts w:ascii="Times New Roman" w:hAnsi="Times New Roman" w:cs="Times New Roman"/>
        </w:rPr>
        <w:t>.</w:t>
      </w:r>
    </w:p>
    <w:p w14:paraId="186ED8D3" w14:textId="77777777" w:rsidR="009F554A" w:rsidRPr="00883F89" w:rsidRDefault="009F554A" w:rsidP="00246699">
      <w:pPr>
        <w:rPr>
          <w:rFonts w:ascii="Times New Roman" w:hAnsi="Times New Roman" w:cs="Times New Roman"/>
          <w:b/>
        </w:rPr>
      </w:pPr>
    </w:p>
    <w:p w14:paraId="2D2C21A2" w14:textId="3C2A0D97" w:rsidR="001B3598" w:rsidRPr="00883F89" w:rsidRDefault="00A90F83" w:rsidP="002C3518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883F89">
        <w:rPr>
          <w:rFonts w:ascii="Times New Roman" w:hAnsi="Times New Roman" w:cs="Times New Roman"/>
          <w:b/>
        </w:rPr>
        <w:t>Le suivi-</w:t>
      </w:r>
      <w:r w:rsidR="00D835B9" w:rsidRPr="00883F89">
        <w:rPr>
          <w:rFonts w:ascii="Times New Roman" w:hAnsi="Times New Roman" w:cs="Times New Roman"/>
          <w:b/>
        </w:rPr>
        <w:t>évaluation</w:t>
      </w:r>
      <w:r w:rsidRPr="00883F89">
        <w:rPr>
          <w:rFonts w:ascii="Times New Roman" w:hAnsi="Times New Roman" w:cs="Times New Roman"/>
          <w:b/>
        </w:rPr>
        <w:t xml:space="preserve"> du Dossi</w:t>
      </w:r>
      <w:r w:rsidR="00D835B9" w:rsidRPr="00883F89">
        <w:rPr>
          <w:rFonts w:ascii="Times New Roman" w:hAnsi="Times New Roman" w:cs="Times New Roman"/>
          <w:b/>
        </w:rPr>
        <w:t>er d’Investissement</w:t>
      </w:r>
    </w:p>
    <w:p w14:paraId="000C79DD" w14:textId="77777777" w:rsidR="000775DD" w:rsidRPr="00883F89" w:rsidRDefault="000775DD" w:rsidP="000775DD">
      <w:pPr>
        <w:pStyle w:val="Paragraphedeliste"/>
        <w:ind w:left="540"/>
        <w:rPr>
          <w:rFonts w:ascii="Times New Roman" w:hAnsi="Times New Roman" w:cs="Times New Roman"/>
          <w:b/>
        </w:rPr>
      </w:pPr>
    </w:p>
    <w:p w14:paraId="2C048696" w14:textId="5EB6CD70" w:rsidR="000775DD" w:rsidRPr="00883F89" w:rsidRDefault="001C0593" w:rsidP="000775DD">
      <w:pPr>
        <w:pStyle w:val="Paragraphedeliste"/>
        <w:ind w:left="540"/>
        <w:rPr>
          <w:rFonts w:ascii="Times New Roman" w:hAnsi="Times New Roman" w:cs="Times New Roman"/>
          <w:b/>
        </w:rPr>
      </w:pPr>
      <w:r w:rsidRPr="00883F89">
        <w:rPr>
          <w:rFonts w:ascii="Times New Roman" w:hAnsi="Times New Roman" w:cs="Times New Roman"/>
          <w:b/>
        </w:rPr>
        <w:t xml:space="preserve">4.1 </w:t>
      </w:r>
      <w:r w:rsidR="00BC00A3" w:rsidRPr="00883F89">
        <w:rPr>
          <w:rFonts w:ascii="Times New Roman" w:hAnsi="Times New Roman" w:cs="Times New Roman"/>
          <w:b/>
        </w:rPr>
        <w:t xml:space="preserve">Les organes </w:t>
      </w:r>
      <w:r w:rsidR="00D87593" w:rsidRPr="00883F89">
        <w:rPr>
          <w:rFonts w:ascii="Times New Roman" w:hAnsi="Times New Roman" w:cs="Times New Roman"/>
          <w:b/>
        </w:rPr>
        <w:t>impliqués dans le suivi-évaluation</w:t>
      </w:r>
    </w:p>
    <w:p w14:paraId="4A348A62" w14:textId="356AE01A" w:rsidR="00FB1662" w:rsidRPr="00883F89" w:rsidRDefault="000F73A1" w:rsidP="0091137C">
      <w:pPr>
        <w:jc w:val="both"/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</w:pP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La Plateforme Nationale de Coordination du Financement de la Santé (PNCFS)</w:t>
      </w:r>
      <w:r w:rsidR="00FB1662" w:rsidRPr="00883F89">
        <w:rPr>
          <w:rFonts w:ascii="Times New Roman" w:hAnsi="Times New Roman" w:cs="Times New Roman"/>
          <w:color w:val="000000" w:themeColor="text1"/>
        </w:rPr>
        <w:t xml:space="preserve"> a été mise en place </w:t>
      </w:r>
      <w:r w:rsidR="00DE5497" w:rsidRPr="00883F89">
        <w:rPr>
          <w:rFonts w:ascii="Times New Roman" w:hAnsi="Times New Roman" w:cs="Times New Roman"/>
          <w:color w:val="000000" w:themeColor="text1"/>
        </w:rPr>
        <w:t xml:space="preserve">pour le suivi des investissements </w:t>
      </w:r>
      <w:r w:rsidR="00E57FD7" w:rsidRPr="00883F89">
        <w:rPr>
          <w:rFonts w:ascii="Times New Roman" w:hAnsi="Times New Roman" w:cs="Times New Roman"/>
          <w:color w:val="000000" w:themeColor="text1"/>
        </w:rPr>
        <w:t>et des résultats qui en découlent, décrits dans le Dossier d’Investissement National.</w:t>
      </w:r>
      <w:r w:rsidR="005A60F1" w:rsidRPr="00883F89">
        <w:rPr>
          <w:rFonts w:ascii="Times New Roman" w:hAnsi="Times New Roman" w:cs="Times New Roman"/>
          <w:color w:val="000000" w:themeColor="text1"/>
        </w:rPr>
        <w:t xml:space="preserve"> </w:t>
      </w:r>
    </w:p>
    <w:p w14:paraId="03E87BBB" w14:textId="57E7DBBF" w:rsidR="00CD1754" w:rsidRPr="00883F89" w:rsidRDefault="00B97A51" w:rsidP="00090C85">
      <w:pPr>
        <w:jc w:val="both"/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</w:pP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La PNCFS est </w:t>
      </w:r>
      <w:r w:rsidR="00C53CD7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comp</w:t>
      </w:r>
      <w:r w:rsidR="00D37C24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o</w:t>
      </w:r>
      <w:r w:rsidR="00C53CD7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s</w:t>
      </w:r>
      <w:r w:rsidR="00D37C24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é</w:t>
      </w:r>
      <w:r w:rsidR="00333CA2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e</w:t>
      </w:r>
      <w:r w:rsidR="00C53CD7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AE17A0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de</w:t>
      </w:r>
      <w:r w:rsidR="009E7FE8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s </w:t>
      </w:r>
      <w:r w:rsidR="00AE17A0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organes</w:t>
      </w:r>
      <w:r w:rsidR="009E7FE8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suivants</w:t>
      </w:r>
      <w:r w:rsidR="00CD1754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 :</w:t>
      </w:r>
    </w:p>
    <w:p w14:paraId="4481288A" w14:textId="6B928E10" w:rsidR="00CD1754" w:rsidRPr="00883F89" w:rsidRDefault="00CD1754" w:rsidP="00BE367D">
      <w:pPr>
        <w:pStyle w:val="Paragraphedeliste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</w:pP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L</w:t>
      </w:r>
      <w:r w:rsidR="00D37C24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e Comité</w:t>
      </w:r>
      <w:r w:rsidR="00C53CD7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de Pilotage</w:t>
      </w:r>
      <w:r w:rsidR="00BE367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 </w:t>
      </w:r>
      <w:r w:rsidR="00D26F3C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: organe</w:t>
      </w:r>
      <w:r w:rsidR="00D37C24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BE367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de </w:t>
      </w:r>
      <w:r w:rsidR="00E00A6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décisio</w:t>
      </w:r>
      <w:r w:rsidR="00BE367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n</w:t>
      </w:r>
      <w:r w:rsidR="00452F4F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. Les </w:t>
      </w:r>
      <w:r w:rsidR="00E00A6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réunions du Comité de Pilotage sont présidées</w:t>
      </w:r>
      <w:r w:rsidR="00452F4F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par le </w:t>
      </w:r>
      <w:r w:rsidR="00E00A6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représentant</w:t>
      </w:r>
      <w:r w:rsidR="00452F4F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du Premier Ministre</w:t>
      </w:r>
      <w:r w:rsidR="00EC6EE6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. Le Comité de Pilotage est composé de membres représentant le Gouvernement, les Organisations de la Société Civile</w:t>
      </w:r>
      <w:r w:rsidR="0089645A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, le Secteur Privé, et les Partenaires au </w:t>
      </w:r>
      <w:r w:rsidR="00B60BDE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développement</w:t>
      </w:r>
      <w:r w:rsidR="0089645A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.</w:t>
      </w:r>
    </w:p>
    <w:p w14:paraId="27A16563" w14:textId="52BF8210" w:rsidR="00452F4F" w:rsidRPr="00883F89" w:rsidRDefault="002411B9" w:rsidP="00CD1754">
      <w:pPr>
        <w:pStyle w:val="Paragraphedeliste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</w:pP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Le S</w:t>
      </w:r>
      <w:r w:rsidR="00E00A6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ecr</w:t>
      </w:r>
      <w:r w:rsidR="00883F89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é</w:t>
      </w:r>
      <w:r w:rsidR="00E00A6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tariat Technique</w:t>
      </w: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0F6C33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(ST)</w:t>
      </w:r>
      <w:r w:rsidR="00A703DE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 : organe d’</w:t>
      </w:r>
      <w:r w:rsidR="00744205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exécution</w:t>
      </w:r>
      <w:r w:rsidR="00A703DE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en charge de la gestion quotidienne</w:t>
      </w:r>
      <w:r w:rsidR="00866C10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des activités de la PNCFS. Il organise les réunion</w:t>
      </w:r>
      <w:r w:rsidR="000E0907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s</w:t>
      </w:r>
      <w:r w:rsidR="00866C10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0E0907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du Comité de Pilotage </w:t>
      </w:r>
      <w:r w:rsidR="00D50FE3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et </w:t>
      </w:r>
      <w:r w:rsidR="00E00A6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est responsable de</w:t>
      </w: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E00A6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préparer l’</w:t>
      </w: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ordre du jour</w:t>
      </w:r>
      <w:r w:rsidR="0028179A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et autres </w:t>
      </w:r>
      <w:r w:rsidR="00D50FE3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logistiques et </w:t>
      </w: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documentation</w:t>
      </w:r>
      <w:r w:rsidR="0028179A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s</w:t>
      </w: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des </w:t>
      </w:r>
      <w:r w:rsidR="00E00A6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réunions</w:t>
      </w: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. </w:t>
      </w:r>
      <w:r w:rsidR="00E00A6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Le </w:t>
      </w:r>
      <w:r w:rsidR="00D26F3C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Secrétariat</w:t>
      </w:r>
      <w:r w:rsidR="00E00A6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Technique est</w:t>
      </w: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log</w:t>
      </w:r>
      <w:r w:rsidR="00E00A6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é</w:t>
      </w: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au sein du </w:t>
      </w:r>
      <w:r w:rsidR="00E00A6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Ministère de la Santé et de l’Hygiè</w:t>
      </w:r>
      <w:r w:rsidR="00090C85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ne Publique</w:t>
      </w: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et </w:t>
      </w:r>
      <w:r w:rsidR="00090C85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est </w:t>
      </w: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dirig</w:t>
      </w:r>
      <w:r w:rsidR="00090C85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é</w:t>
      </w: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par le </w:t>
      </w:r>
      <w:r w:rsidR="00090C85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représentant</w:t>
      </w: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du Ministre de la Sant</w:t>
      </w:r>
      <w:r w:rsidR="00090C85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é</w:t>
      </w:r>
      <w:r w:rsidR="000742D3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.</w:t>
      </w:r>
    </w:p>
    <w:p w14:paraId="513F269C" w14:textId="2101F0E0" w:rsidR="00727307" w:rsidRPr="00883F89" w:rsidRDefault="00CD1754" w:rsidP="001C0593">
      <w:pPr>
        <w:pStyle w:val="Paragraphedeliste"/>
        <w:numPr>
          <w:ilvl w:val="0"/>
          <w:numId w:val="9"/>
        </w:numPr>
        <w:jc w:val="both"/>
        <w:rPr>
          <w:rFonts w:ascii="Times New Roman" w:eastAsia="Calibri" w:hAnsi="Times New Roman" w:cs="Times New Roman"/>
          <w:bCs/>
          <w:i/>
          <w:color w:val="000000" w:themeColor="text1"/>
          <w:shd w:val="clear" w:color="auto" w:fill="FFFFFF"/>
        </w:rPr>
      </w:pP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Les Groupes Techniques de Travail</w:t>
      </w:r>
      <w:r w:rsidR="000F6C33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(GTT) : </w:t>
      </w:r>
      <w:r w:rsidR="00222498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regroupements ad hoc ou fixes chargés de l’étude des questions spécifiques arrêtées par le comité de pilotage, à l’effet de formuler des propositions d’objectifs ou d’avis. Les missions spécifiques des GTT sont déterminées dans des termes de référence approuvés par le comité de pilotage</w:t>
      </w:r>
      <w:r w:rsidR="00CE1A16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.</w:t>
      </w:r>
      <w:r w:rsidR="007863E1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D408B1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La PNCFS est composé de 4 GTT : (i) </w:t>
      </w:r>
      <w:r w:rsidR="00567CC3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Amélioration de l’efficience des financements et pérennisation des financements internes (face à la transition)</w:t>
      </w:r>
      <w:r w:rsidR="00883F89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 ;</w:t>
      </w:r>
      <w:r w:rsidR="00567CC3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(ii) </w:t>
      </w:r>
      <w:r w:rsidR="00F11718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Réforme Hospitalière et Décentralisation/ opérationnalisation des Districts</w:t>
      </w:r>
      <w:r w:rsidR="00E836EC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 ; (iii) </w:t>
      </w:r>
      <w:r w:rsidR="000A7CE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CMU et mise à échelle du PBF (Achat stratégique) ; </w:t>
      </w:r>
      <w:r w:rsidR="001871A1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et </w:t>
      </w:r>
      <w:r w:rsidR="000A7CE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(iv) </w:t>
      </w:r>
      <w:r w:rsidR="001871A1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Suivi et évaluation.</w:t>
      </w:r>
    </w:p>
    <w:p w14:paraId="32965BC9" w14:textId="4D4C0B88" w:rsidR="00E222D2" w:rsidRPr="00883F89" w:rsidRDefault="00E222D2" w:rsidP="00E222D2">
      <w:pPr>
        <w:pStyle w:val="Paragraphedeliste"/>
        <w:ind w:left="765"/>
        <w:jc w:val="both"/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</w:pPr>
    </w:p>
    <w:p w14:paraId="79632E41" w14:textId="77777777" w:rsidR="00E222D2" w:rsidRPr="00883F89" w:rsidRDefault="00E222D2" w:rsidP="00E222D2">
      <w:pPr>
        <w:pStyle w:val="Paragraphedeliste"/>
        <w:ind w:left="765"/>
        <w:jc w:val="both"/>
        <w:rPr>
          <w:rFonts w:ascii="Times New Roman" w:eastAsia="Calibri" w:hAnsi="Times New Roman" w:cs="Times New Roman"/>
          <w:bCs/>
          <w:i/>
          <w:color w:val="000000" w:themeColor="text1"/>
          <w:shd w:val="clear" w:color="auto" w:fill="FFFFFF"/>
        </w:rPr>
      </w:pPr>
    </w:p>
    <w:p w14:paraId="7F1E9397" w14:textId="44D79F7A" w:rsidR="000775DD" w:rsidRPr="00883F89" w:rsidRDefault="001C0593" w:rsidP="003F6647">
      <w:pPr>
        <w:pStyle w:val="Paragraphedeliste"/>
        <w:ind w:left="540"/>
        <w:rPr>
          <w:rFonts w:ascii="Times New Roman" w:hAnsi="Times New Roman" w:cs="Times New Roman"/>
          <w:b/>
        </w:rPr>
      </w:pPr>
      <w:r w:rsidRPr="00883F89">
        <w:rPr>
          <w:rFonts w:ascii="Times New Roman" w:hAnsi="Times New Roman" w:cs="Times New Roman"/>
          <w:b/>
        </w:rPr>
        <w:t xml:space="preserve">4.2 </w:t>
      </w:r>
      <w:r w:rsidR="001901F4" w:rsidRPr="00883F89">
        <w:rPr>
          <w:rFonts w:ascii="Times New Roman" w:hAnsi="Times New Roman" w:cs="Times New Roman"/>
          <w:b/>
        </w:rPr>
        <w:t>La Straté</w:t>
      </w:r>
      <w:r w:rsidR="00F24399" w:rsidRPr="00883F89">
        <w:rPr>
          <w:rFonts w:ascii="Times New Roman" w:hAnsi="Times New Roman" w:cs="Times New Roman"/>
          <w:b/>
        </w:rPr>
        <w:t>gie d’utilisation des données</w:t>
      </w:r>
    </w:p>
    <w:p w14:paraId="21DDD1A9" w14:textId="3BB66442" w:rsidR="003236B4" w:rsidRPr="00883F89" w:rsidRDefault="000E4824" w:rsidP="00090C85">
      <w:pPr>
        <w:jc w:val="both"/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</w:pP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Le Comité de Pilotage se </w:t>
      </w:r>
      <w:r w:rsidR="00857EFA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réunit</w:t>
      </w:r>
      <w:r w:rsidR="008B26A7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au moins une fois par trimestre pour </w:t>
      </w:r>
      <w:r w:rsidR="0020401F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faire une revue </w:t>
      </w:r>
      <w:r w:rsidR="00787CDC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du décaissement</w:t>
      </w:r>
      <w:r w:rsidR="00330CDC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et utilisation</w:t>
      </w:r>
      <w:r w:rsidR="00DD198E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des investissements</w:t>
      </w:r>
      <w:r w:rsidR="00330CDC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financiers</w:t>
      </w:r>
      <w:r w:rsidR="00DD198E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et du</w:t>
      </w:r>
      <w:r w:rsidR="0020401F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progrès </w:t>
      </w:r>
      <w:r w:rsidR="004A11C9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sur les résultats </w:t>
      </w:r>
      <w:r w:rsidR="00DD198E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attendus. </w:t>
      </w:r>
      <w:r w:rsidR="00EE718C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L</w:t>
      </w:r>
      <w:r w:rsidR="00A703DE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e Secrétariat Technique</w:t>
      </w:r>
      <w:r w:rsidR="00EE718C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soumet l’ordre du</w:t>
      </w:r>
      <w:r w:rsidR="0089119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EE718C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jour pour chaque réunion trimestrielle au Comité de Pilotage</w:t>
      </w:r>
      <w:r w:rsidR="00A703DE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.</w:t>
      </w:r>
      <w:r w:rsidR="00845817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857EFA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Avant chaque réunion trimestrielle,</w:t>
      </w:r>
      <w:r w:rsidR="00845817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le Secrétariat Technique</w:t>
      </w:r>
      <w:r w:rsidR="005F06A5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D1783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se </w:t>
      </w:r>
      <w:r w:rsidR="00C46533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réunir</w:t>
      </w:r>
      <w:r w:rsidR="005F06A5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a</w:t>
      </w:r>
      <w:r w:rsidR="00120974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au moins une fois pour </w:t>
      </w:r>
      <w:r w:rsidR="00516FD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élaborer</w:t>
      </w:r>
      <w:r w:rsidR="00120974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les rapports </w:t>
      </w:r>
      <w:r w:rsidR="00516FD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de suivi/évaluation qui vont être revus.</w:t>
      </w:r>
      <w:r w:rsidR="0093132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Les rapports s</w:t>
      </w:r>
      <w:r w:rsidR="005F06A5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eront</w:t>
      </w:r>
      <w:r w:rsidR="0093132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soumis à l’avance au Comité de Pilotage pour approbation</w:t>
      </w:r>
      <w:r w:rsidR="00396377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.</w:t>
      </w:r>
      <w:r w:rsidR="00F5176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E3C98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L’ordre du jour de c</w:t>
      </w:r>
      <w:r w:rsidR="00F5176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haque réunion trimestrielle du Comité de Pilotage </w:t>
      </w:r>
      <w:r w:rsidR="005F06A5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inclura</w:t>
      </w:r>
      <w:r w:rsidR="00851E7A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une revue des </w:t>
      </w:r>
      <w:r w:rsidR="00851E7A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lastRenderedPageBreak/>
        <w:t>données</w:t>
      </w:r>
      <w:r w:rsidR="004E3C98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, une discussion </w:t>
      </w:r>
      <w:r w:rsidR="0025149E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s</w:t>
      </w:r>
      <w:r w:rsidR="004E3C98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u</w:t>
      </w:r>
      <w:r w:rsidR="0025149E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r</w:t>
      </w:r>
      <w:r w:rsidR="00AD0E29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 l’évolution</w:t>
      </w:r>
      <w:r w:rsidR="004E3C98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25149E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observé</w:t>
      </w:r>
      <w:r w:rsidR="006B1571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e</w:t>
      </w:r>
      <w:r w:rsidR="00AC0C01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, et </w:t>
      </w:r>
      <w:r w:rsidR="00EA3C46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une prise de décisions</w:t>
      </w:r>
      <w:r w:rsidR="007A3034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pour accélérer le </w:t>
      </w:r>
      <w:r w:rsidR="00157031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progrès</w:t>
      </w:r>
      <w:r w:rsidR="007A3034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ou</w:t>
      </w:r>
      <w:r w:rsidR="00157031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effectuer les corrections nécessaires.</w:t>
      </w:r>
    </w:p>
    <w:p w14:paraId="57641A6B" w14:textId="7C5AF1EF" w:rsidR="00FC0137" w:rsidRPr="00883F89" w:rsidRDefault="0094407C" w:rsidP="000661E0">
      <w:pPr>
        <w:jc w:val="both"/>
        <w:rPr>
          <w:rFonts w:ascii="Times New Roman" w:hAnsi="Times New Roman" w:cs="Times New Roman"/>
          <w:color w:val="000000" w:themeColor="text1"/>
        </w:rPr>
      </w:pP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Le GTT suivi-évaluation </w:t>
      </w:r>
      <w:r w:rsidR="00041004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sous l</w:t>
      </w:r>
      <w:r w:rsidR="00902401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a présidence</w:t>
      </w:r>
      <w:r w:rsidR="00C72B69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de la </w:t>
      </w:r>
      <w:r w:rsidR="000274C6" w:rsidRPr="00883F89">
        <w:rPr>
          <w:rFonts w:ascii="Times New Roman" w:eastAsia="Times New Roman" w:hAnsi="Times New Roman" w:cs="Times New Roman"/>
          <w:bCs/>
          <w:iCs/>
          <w:color w:val="000000" w:themeColor="text1"/>
        </w:rPr>
        <w:t>D</w:t>
      </w:r>
      <w:r w:rsidR="000274C6" w:rsidRPr="00883F89">
        <w:rPr>
          <w:rFonts w:ascii="Times New Roman" w:eastAsia="Times New Roman" w:hAnsi="Times New Roman" w:cs="Times New Roman"/>
          <w:iCs/>
          <w:color w:val="000000" w:themeColor="text1"/>
        </w:rPr>
        <w:t>irection</w:t>
      </w:r>
      <w:r w:rsidR="000274C6" w:rsidRPr="00883F89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 </w:t>
      </w:r>
      <w:r w:rsidR="000274C6" w:rsidRPr="00883F89">
        <w:rPr>
          <w:rFonts w:ascii="Times New Roman" w:eastAsia="Times New Roman" w:hAnsi="Times New Roman" w:cs="Times New Roman"/>
          <w:iCs/>
          <w:color w:val="000000" w:themeColor="text1"/>
        </w:rPr>
        <w:t>de l'</w:t>
      </w:r>
      <w:r w:rsidR="000274C6" w:rsidRPr="00883F89">
        <w:rPr>
          <w:rFonts w:ascii="Times New Roman" w:eastAsia="Times New Roman" w:hAnsi="Times New Roman" w:cs="Times New Roman"/>
          <w:bCs/>
          <w:iCs/>
          <w:color w:val="000000" w:themeColor="text1"/>
        </w:rPr>
        <w:t>I</w:t>
      </w:r>
      <w:r w:rsidR="000274C6" w:rsidRPr="00883F89">
        <w:rPr>
          <w:rFonts w:ascii="Times New Roman" w:eastAsia="Times New Roman" w:hAnsi="Times New Roman" w:cs="Times New Roman"/>
          <w:iCs/>
          <w:color w:val="000000" w:themeColor="text1"/>
        </w:rPr>
        <w:t>nformatique et de l'</w:t>
      </w:r>
      <w:r w:rsidR="000274C6" w:rsidRPr="00883F89">
        <w:rPr>
          <w:rFonts w:ascii="Times New Roman" w:eastAsia="Times New Roman" w:hAnsi="Times New Roman" w:cs="Times New Roman"/>
          <w:bCs/>
          <w:iCs/>
          <w:color w:val="000000" w:themeColor="text1"/>
        </w:rPr>
        <w:t>I</w:t>
      </w:r>
      <w:r w:rsidR="000274C6" w:rsidRPr="00883F89">
        <w:rPr>
          <w:rFonts w:ascii="Times New Roman" w:eastAsia="Times New Roman" w:hAnsi="Times New Roman" w:cs="Times New Roman"/>
          <w:iCs/>
          <w:color w:val="000000" w:themeColor="text1"/>
        </w:rPr>
        <w:t>nformation Sanitaire</w:t>
      </w:r>
      <w:r w:rsidR="000274C6" w:rsidRPr="00883F89">
        <w:rPr>
          <w:rFonts w:ascii="Times New Roman" w:eastAsia="Times New Roman" w:hAnsi="Times New Roman" w:cs="Times New Roman"/>
          <w:bCs/>
          <w:iCs/>
          <w:color w:val="000000" w:themeColor="text1"/>
        </w:rPr>
        <w:t> </w:t>
      </w:r>
      <w:r w:rsidR="003110BD" w:rsidRPr="00883F89">
        <w:rPr>
          <w:rFonts w:ascii="Times New Roman" w:eastAsia="Times New Roman" w:hAnsi="Times New Roman" w:cs="Times New Roman"/>
          <w:bCs/>
          <w:iCs/>
          <w:color w:val="000000" w:themeColor="text1"/>
        </w:rPr>
        <w:t xml:space="preserve">(DIIS) </w:t>
      </w:r>
      <w:r w:rsidR="005F06A5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sera responsable</w:t>
      </w:r>
      <w:r w:rsidR="00C72B69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de mettre à jour les </w:t>
      </w:r>
      <w:r w:rsidR="009716B1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données du cadre des résultats</w:t>
      </w:r>
      <w:r w:rsidR="00FC0137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. </w:t>
      </w:r>
      <w:r w:rsidR="00FC0137" w:rsidRPr="00883F89">
        <w:rPr>
          <w:rFonts w:ascii="Times New Roman" w:hAnsi="Times New Roman" w:cs="Times New Roman"/>
          <w:color w:val="000000" w:themeColor="text1"/>
        </w:rPr>
        <w:t xml:space="preserve">L’équipe de suivi-évaluation de la DIIS </w:t>
      </w:r>
      <w:r w:rsidR="00AE0EE9" w:rsidRPr="00883F89">
        <w:rPr>
          <w:rFonts w:ascii="Times New Roman" w:hAnsi="Times New Roman" w:cs="Times New Roman"/>
          <w:color w:val="000000" w:themeColor="text1"/>
        </w:rPr>
        <w:t>f</w:t>
      </w:r>
      <w:r w:rsidR="005F06A5" w:rsidRPr="00883F89">
        <w:rPr>
          <w:rFonts w:ascii="Times New Roman" w:hAnsi="Times New Roman" w:cs="Times New Roman"/>
          <w:color w:val="000000" w:themeColor="text1"/>
        </w:rPr>
        <w:t>era</w:t>
      </w:r>
      <w:r w:rsidR="00AE0EE9" w:rsidRPr="00883F89">
        <w:rPr>
          <w:rFonts w:ascii="Times New Roman" w:hAnsi="Times New Roman" w:cs="Times New Roman"/>
          <w:color w:val="000000" w:themeColor="text1"/>
        </w:rPr>
        <w:t xml:space="preserve"> une revue des </w:t>
      </w:r>
      <w:r w:rsidR="002E1E2D" w:rsidRPr="00883F89">
        <w:rPr>
          <w:rFonts w:ascii="Times New Roman" w:hAnsi="Times New Roman" w:cs="Times New Roman"/>
          <w:color w:val="000000" w:themeColor="text1"/>
        </w:rPr>
        <w:t>données</w:t>
      </w:r>
      <w:r w:rsidR="00AE0EE9" w:rsidRPr="00883F89">
        <w:rPr>
          <w:rFonts w:ascii="Times New Roman" w:hAnsi="Times New Roman" w:cs="Times New Roman"/>
          <w:color w:val="000000" w:themeColor="text1"/>
        </w:rPr>
        <w:t xml:space="preserve"> du </w:t>
      </w:r>
      <w:r w:rsidR="00ED4359" w:rsidRPr="00883F89">
        <w:rPr>
          <w:rFonts w:ascii="Times New Roman" w:hAnsi="Times New Roman" w:cs="Times New Roman"/>
          <w:color w:val="000000" w:themeColor="text1"/>
        </w:rPr>
        <w:t>système national d’information sanitaire (</w:t>
      </w:r>
      <w:r w:rsidR="00AE0EE9" w:rsidRPr="00883F89">
        <w:rPr>
          <w:rFonts w:ascii="Times New Roman" w:hAnsi="Times New Roman" w:cs="Times New Roman"/>
          <w:color w:val="000000" w:themeColor="text1"/>
        </w:rPr>
        <w:t>SNIS</w:t>
      </w:r>
      <w:r w:rsidR="00ED4359" w:rsidRPr="00883F89">
        <w:rPr>
          <w:rFonts w:ascii="Times New Roman" w:hAnsi="Times New Roman" w:cs="Times New Roman"/>
          <w:color w:val="000000" w:themeColor="text1"/>
        </w:rPr>
        <w:t>)</w:t>
      </w:r>
      <w:r w:rsidR="00AE0EE9" w:rsidRPr="00883F89">
        <w:rPr>
          <w:rFonts w:ascii="Times New Roman" w:hAnsi="Times New Roman" w:cs="Times New Roman"/>
          <w:color w:val="000000" w:themeColor="text1"/>
        </w:rPr>
        <w:t xml:space="preserve">, </w:t>
      </w:r>
      <w:r w:rsidR="00CD77A9" w:rsidRPr="00883F89">
        <w:rPr>
          <w:rFonts w:ascii="Times New Roman" w:hAnsi="Times New Roman" w:cs="Times New Roman"/>
          <w:color w:val="000000" w:themeColor="text1"/>
        </w:rPr>
        <w:t>ainsi que</w:t>
      </w:r>
      <w:r w:rsidR="00FC0137" w:rsidRPr="00883F89">
        <w:rPr>
          <w:rFonts w:ascii="Times New Roman" w:hAnsi="Times New Roman" w:cs="Times New Roman"/>
          <w:color w:val="000000" w:themeColor="text1"/>
        </w:rPr>
        <w:t xml:space="preserve"> des </w:t>
      </w:r>
      <w:r w:rsidR="00BB0DA2" w:rsidRPr="00883F89">
        <w:rPr>
          <w:rFonts w:ascii="Times New Roman" w:hAnsi="Times New Roman" w:cs="Times New Roman"/>
          <w:color w:val="000000" w:themeColor="text1"/>
        </w:rPr>
        <w:t>données provenant</w:t>
      </w:r>
      <w:r w:rsidR="00FC0137" w:rsidRPr="00883F89">
        <w:rPr>
          <w:rFonts w:ascii="Times New Roman" w:hAnsi="Times New Roman" w:cs="Times New Roman"/>
          <w:color w:val="000000" w:themeColor="text1"/>
        </w:rPr>
        <w:t xml:space="preserve"> des différentes structures du Ministère de la Santé, de l’UCP-BM, et de la CNAM, et </w:t>
      </w:r>
      <w:r w:rsidR="00B04138" w:rsidRPr="00883F89">
        <w:rPr>
          <w:rFonts w:ascii="Times New Roman" w:hAnsi="Times New Roman" w:cs="Times New Roman"/>
          <w:color w:val="000000" w:themeColor="text1"/>
        </w:rPr>
        <w:t>les présente</w:t>
      </w:r>
      <w:r w:rsidR="005F06A5" w:rsidRPr="00883F89">
        <w:rPr>
          <w:rFonts w:ascii="Times New Roman" w:hAnsi="Times New Roman" w:cs="Times New Roman"/>
          <w:color w:val="000000" w:themeColor="text1"/>
        </w:rPr>
        <w:t>ra</w:t>
      </w:r>
      <w:r w:rsidR="00FC0137" w:rsidRPr="00883F89">
        <w:rPr>
          <w:rFonts w:ascii="Times New Roman" w:hAnsi="Times New Roman" w:cs="Times New Roman"/>
          <w:color w:val="000000" w:themeColor="text1"/>
        </w:rPr>
        <w:t xml:space="preserve"> à l’aide d</w:t>
      </w:r>
      <w:r w:rsidR="00C8245E" w:rsidRPr="00883F89">
        <w:rPr>
          <w:rFonts w:ascii="Times New Roman" w:hAnsi="Times New Roman" w:cs="Times New Roman"/>
          <w:color w:val="000000" w:themeColor="text1"/>
        </w:rPr>
        <w:t>’</w:t>
      </w:r>
      <w:r w:rsidR="00FC0137" w:rsidRPr="00883F89">
        <w:rPr>
          <w:rFonts w:ascii="Times New Roman" w:hAnsi="Times New Roman" w:cs="Times New Roman"/>
          <w:color w:val="000000" w:themeColor="text1"/>
        </w:rPr>
        <w:t>outils de visualisation tel qu’un tableau de bord pour la revue</w:t>
      </w:r>
      <w:r w:rsidR="00B04138" w:rsidRPr="00883F89">
        <w:rPr>
          <w:rFonts w:ascii="Times New Roman" w:hAnsi="Times New Roman" w:cs="Times New Roman"/>
          <w:color w:val="000000" w:themeColor="text1"/>
        </w:rPr>
        <w:t xml:space="preserve"> et approbation</w:t>
      </w:r>
      <w:r w:rsidR="00FC0137" w:rsidRPr="00883F89">
        <w:rPr>
          <w:rFonts w:ascii="Times New Roman" w:hAnsi="Times New Roman" w:cs="Times New Roman"/>
          <w:color w:val="000000" w:themeColor="text1"/>
        </w:rPr>
        <w:t xml:space="preserve"> par le </w:t>
      </w:r>
      <w:r w:rsidR="00D26F3C" w:rsidRPr="00883F89">
        <w:rPr>
          <w:rFonts w:ascii="Times New Roman" w:hAnsi="Times New Roman" w:cs="Times New Roman"/>
          <w:color w:val="000000" w:themeColor="text1"/>
        </w:rPr>
        <w:t>Secrétariat</w:t>
      </w:r>
      <w:r w:rsidR="00FC0137" w:rsidRPr="00883F89">
        <w:rPr>
          <w:rFonts w:ascii="Times New Roman" w:hAnsi="Times New Roman" w:cs="Times New Roman"/>
          <w:color w:val="000000" w:themeColor="text1"/>
        </w:rPr>
        <w:t xml:space="preserve"> Technique</w:t>
      </w:r>
      <w:r w:rsidR="00B04138" w:rsidRPr="00883F89">
        <w:rPr>
          <w:rFonts w:ascii="Times New Roman" w:hAnsi="Times New Roman" w:cs="Times New Roman"/>
          <w:color w:val="000000" w:themeColor="text1"/>
        </w:rPr>
        <w:t>.</w:t>
      </w:r>
      <w:r w:rsidR="004E2705" w:rsidRPr="00883F89">
        <w:rPr>
          <w:rFonts w:ascii="Times New Roman" w:hAnsi="Times New Roman" w:cs="Times New Roman"/>
          <w:color w:val="000000" w:themeColor="text1"/>
        </w:rPr>
        <w:t xml:space="preserve"> Toutes les données provenant </w:t>
      </w:r>
      <w:r w:rsidR="00DC102C" w:rsidRPr="00883F89">
        <w:rPr>
          <w:rFonts w:ascii="Times New Roman" w:hAnsi="Times New Roman" w:cs="Times New Roman"/>
          <w:color w:val="000000" w:themeColor="text1"/>
        </w:rPr>
        <w:t>du SNIS devront être validées par les programmes respectifs avant d’</w:t>
      </w:r>
      <w:r w:rsidR="00F45759" w:rsidRPr="00883F89">
        <w:rPr>
          <w:rFonts w:ascii="Times New Roman" w:hAnsi="Times New Roman" w:cs="Times New Roman"/>
          <w:color w:val="000000" w:themeColor="text1"/>
        </w:rPr>
        <w:t>être</w:t>
      </w:r>
      <w:r w:rsidR="00DC102C" w:rsidRPr="00883F89">
        <w:rPr>
          <w:rFonts w:ascii="Times New Roman" w:hAnsi="Times New Roman" w:cs="Times New Roman"/>
          <w:color w:val="000000" w:themeColor="text1"/>
        </w:rPr>
        <w:t xml:space="preserve"> présentées au </w:t>
      </w:r>
      <w:r w:rsidR="00D26F3C" w:rsidRPr="00883F89">
        <w:rPr>
          <w:rFonts w:ascii="Times New Roman" w:hAnsi="Times New Roman" w:cs="Times New Roman"/>
          <w:color w:val="000000" w:themeColor="text1"/>
        </w:rPr>
        <w:t>Secrétariat</w:t>
      </w:r>
      <w:r w:rsidR="00F45759" w:rsidRPr="00883F89">
        <w:rPr>
          <w:rFonts w:ascii="Times New Roman" w:hAnsi="Times New Roman" w:cs="Times New Roman"/>
          <w:color w:val="000000" w:themeColor="text1"/>
        </w:rPr>
        <w:t xml:space="preserve"> Technique.</w:t>
      </w:r>
    </w:p>
    <w:p w14:paraId="5951F9F6" w14:textId="50B9A926" w:rsidR="006B403E" w:rsidRPr="00883F89" w:rsidRDefault="00AB6646" w:rsidP="00362E3A">
      <w:pPr>
        <w:jc w:val="both"/>
        <w:rPr>
          <w:rFonts w:ascii="Times New Roman" w:hAnsi="Times New Roman" w:cs="Times New Roman"/>
          <w:color w:val="000000" w:themeColor="text1"/>
        </w:rPr>
      </w:pP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Le tableau de bord mis à jour chaque trimestre pour les réunions du Comité de Pilotage contien</w:t>
      </w:r>
      <w:r w:rsidR="005F06A5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dra</w:t>
      </w: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un sous-groupe d’indicateurs d’extrants qui ont une fréquence de collecte trimestrielle. En fin d’année, un tableau de bord </w:t>
      </w:r>
      <w:r w:rsidR="00D26F3C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annuel</w:t>
      </w: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contenant un nombre additionnel d’indicateurs </w:t>
      </w:r>
      <w:r w:rsidR="005F06A5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sera</w:t>
      </w:r>
      <w:r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développé.</w:t>
      </w:r>
      <w:r w:rsidR="00D72FFD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AD40F1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Après</w:t>
      </w:r>
      <w:r w:rsidR="005A4F5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chaque </w:t>
      </w:r>
      <w:r w:rsidR="009E7F8C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réunion</w:t>
      </w:r>
      <w:r w:rsidR="005A4F5B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 trimestrielle de la </w:t>
      </w:r>
      <w:r w:rsidR="009E7F8C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 xml:space="preserve">PNCFS, il </w:t>
      </w:r>
      <w:r w:rsidR="005F06A5" w:rsidRPr="00883F89"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  <w:t>sera</w:t>
      </w:r>
      <w:r w:rsidR="009E7F8C" w:rsidRPr="00883F89">
        <w:rPr>
          <w:rFonts w:ascii="Times New Roman" w:hAnsi="Times New Roman" w:cs="Times New Roman"/>
          <w:color w:val="000000" w:themeColor="text1"/>
        </w:rPr>
        <w:t xml:space="preserve"> important de s’assurer que les données</w:t>
      </w:r>
      <w:r w:rsidR="00A73B6A" w:rsidRPr="00883F89">
        <w:rPr>
          <w:rFonts w:ascii="Times New Roman" w:hAnsi="Times New Roman" w:cs="Times New Roman"/>
          <w:color w:val="000000" w:themeColor="text1"/>
        </w:rPr>
        <w:t xml:space="preserve"> et les observations</w:t>
      </w:r>
      <w:r w:rsidR="009E7F8C" w:rsidRPr="00883F89">
        <w:rPr>
          <w:rFonts w:ascii="Times New Roman" w:hAnsi="Times New Roman" w:cs="Times New Roman"/>
          <w:color w:val="000000" w:themeColor="text1"/>
        </w:rPr>
        <w:t xml:space="preserve"> sont partagées et utilisées à titre d’outils de planification et de gestion et cela, avec les instances infranationales pertinentes et avec, au moins, le niveau régional ou le district</w:t>
      </w:r>
      <w:r w:rsidR="00AD40F1" w:rsidRPr="00883F89">
        <w:rPr>
          <w:rFonts w:ascii="Times New Roman" w:hAnsi="Times New Roman" w:cs="Times New Roman"/>
          <w:color w:val="000000" w:themeColor="text1"/>
        </w:rPr>
        <w:t>.</w:t>
      </w:r>
      <w:r w:rsidR="003F4F0F" w:rsidRPr="00883F89">
        <w:rPr>
          <w:rFonts w:ascii="Times New Roman" w:hAnsi="Times New Roman" w:cs="Times New Roman"/>
          <w:color w:val="000000" w:themeColor="text1"/>
        </w:rPr>
        <w:t xml:space="preserve"> </w:t>
      </w:r>
      <w:r w:rsidR="00E00654" w:rsidRPr="00883F89">
        <w:rPr>
          <w:rFonts w:ascii="Times New Roman" w:hAnsi="Times New Roman" w:cs="Times New Roman"/>
          <w:color w:val="000000" w:themeColor="text1"/>
        </w:rPr>
        <w:t xml:space="preserve">Pour cela, en plus du tableau de bord </w:t>
      </w:r>
      <w:r w:rsidR="00B917EE" w:rsidRPr="00883F89">
        <w:rPr>
          <w:rFonts w:ascii="Times New Roman" w:hAnsi="Times New Roman" w:cs="Times New Roman"/>
          <w:color w:val="000000" w:themeColor="text1"/>
        </w:rPr>
        <w:t>présentant</w:t>
      </w:r>
      <w:r w:rsidR="00CC08BC" w:rsidRPr="00883F89">
        <w:rPr>
          <w:rFonts w:ascii="Times New Roman" w:hAnsi="Times New Roman" w:cs="Times New Roman"/>
          <w:color w:val="000000" w:themeColor="text1"/>
        </w:rPr>
        <w:t xml:space="preserve"> les </w:t>
      </w:r>
      <w:r w:rsidR="00B917EE" w:rsidRPr="00883F89">
        <w:rPr>
          <w:rFonts w:ascii="Times New Roman" w:hAnsi="Times New Roman" w:cs="Times New Roman"/>
          <w:color w:val="000000" w:themeColor="text1"/>
        </w:rPr>
        <w:t>données</w:t>
      </w:r>
      <w:r w:rsidR="00CC08BC" w:rsidRPr="00883F89">
        <w:rPr>
          <w:rFonts w:ascii="Times New Roman" w:hAnsi="Times New Roman" w:cs="Times New Roman"/>
          <w:color w:val="000000" w:themeColor="text1"/>
        </w:rPr>
        <w:t xml:space="preserve"> au niveau national, un tableau de bord </w:t>
      </w:r>
      <w:r w:rsidR="00775E5B" w:rsidRPr="00883F89">
        <w:rPr>
          <w:rFonts w:ascii="Times New Roman" w:hAnsi="Times New Roman" w:cs="Times New Roman"/>
          <w:color w:val="000000" w:themeColor="text1"/>
        </w:rPr>
        <w:t>présentant</w:t>
      </w:r>
      <w:r w:rsidR="00CC08BC" w:rsidRPr="00883F89">
        <w:rPr>
          <w:rFonts w:ascii="Times New Roman" w:hAnsi="Times New Roman" w:cs="Times New Roman"/>
          <w:color w:val="000000" w:themeColor="text1"/>
        </w:rPr>
        <w:t xml:space="preserve"> les </w:t>
      </w:r>
      <w:r w:rsidR="00775E5B" w:rsidRPr="00883F89">
        <w:rPr>
          <w:rFonts w:ascii="Times New Roman" w:hAnsi="Times New Roman" w:cs="Times New Roman"/>
          <w:color w:val="000000" w:themeColor="text1"/>
        </w:rPr>
        <w:t>données</w:t>
      </w:r>
      <w:r w:rsidR="00CC08BC" w:rsidRPr="00883F89">
        <w:rPr>
          <w:rFonts w:ascii="Times New Roman" w:hAnsi="Times New Roman" w:cs="Times New Roman"/>
          <w:color w:val="000000" w:themeColor="text1"/>
        </w:rPr>
        <w:t xml:space="preserve"> par </w:t>
      </w:r>
      <w:r w:rsidR="00775E5B" w:rsidRPr="00883F89">
        <w:rPr>
          <w:rFonts w:ascii="Times New Roman" w:hAnsi="Times New Roman" w:cs="Times New Roman"/>
          <w:color w:val="000000" w:themeColor="text1"/>
        </w:rPr>
        <w:t>région</w:t>
      </w:r>
      <w:r w:rsidR="00CC08BC" w:rsidRPr="00883F89">
        <w:rPr>
          <w:rFonts w:ascii="Times New Roman" w:hAnsi="Times New Roman" w:cs="Times New Roman"/>
          <w:color w:val="000000" w:themeColor="text1"/>
        </w:rPr>
        <w:t xml:space="preserve"> et </w:t>
      </w:r>
      <w:r w:rsidR="00B917EE" w:rsidRPr="00883F89">
        <w:rPr>
          <w:rFonts w:ascii="Times New Roman" w:hAnsi="Times New Roman" w:cs="Times New Roman"/>
          <w:color w:val="000000" w:themeColor="text1"/>
        </w:rPr>
        <w:t xml:space="preserve">par </w:t>
      </w:r>
      <w:r w:rsidR="00CC08BC" w:rsidRPr="00883F89">
        <w:rPr>
          <w:rFonts w:ascii="Times New Roman" w:hAnsi="Times New Roman" w:cs="Times New Roman"/>
          <w:color w:val="000000" w:themeColor="text1"/>
        </w:rPr>
        <w:t xml:space="preserve">district </w:t>
      </w:r>
      <w:r w:rsidR="00612835" w:rsidRPr="00883F89">
        <w:rPr>
          <w:rFonts w:ascii="Times New Roman" w:hAnsi="Times New Roman" w:cs="Times New Roman"/>
          <w:color w:val="000000" w:themeColor="text1"/>
        </w:rPr>
        <w:t>sera</w:t>
      </w:r>
      <w:r w:rsidR="00B917EE" w:rsidRPr="00883F89">
        <w:rPr>
          <w:rFonts w:ascii="Times New Roman" w:hAnsi="Times New Roman" w:cs="Times New Roman"/>
          <w:color w:val="000000" w:themeColor="text1"/>
        </w:rPr>
        <w:t xml:space="preserve"> développé </w:t>
      </w:r>
      <w:r w:rsidR="00362E3A" w:rsidRPr="00883F89">
        <w:rPr>
          <w:rFonts w:ascii="Times New Roman" w:hAnsi="Times New Roman" w:cs="Times New Roman"/>
        </w:rPr>
        <w:t>pour permettre d’éliciter les problèmes d’équité, les disparités entre régions et districts sanitaires.</w:t>
      </w:r>
    </w:p>
    <w:p w14:paraId="04FB7042" w14:textId="5E7AA7A5" w:rsidR="00C129BB" w:rsidRPr="00883F89" w:rsidRDefault="00E81116" w:rsidP="00362E3A">
      <w:pPr>
        <w:jc w:val="both"/>
        <w:rPr>
          <w:rFonts w:ascii="Times New Roman" w:hAnsi="Times New Roman" w:cs="Times New Roman"/>
          <w:color w:val="000000" w:themeColor="text1"/>
        </w:rPr>
      </w:pPr>
      <w:r w:rsidRPr="00883F89">
        <w:rPr>
          <w:rFonts w:ascii="Times New Roman" w:hAnsi="Times New Roman" w:cs="Times New Roman"/>
        </w:rPr>
        <w:t>Le partage des donnée</w:t>
      </w:r>
      <w:r w:rsidR="007653D1" w:rsidRPr="00883F89">
        <w:rPr>
          <w:rFonts w:ascii="Times New Roman" w:hAnsi="Times New Roman" w:cs="Times New Roman"/>
        </w:rPr>
        <w:t xml:space="preserve">s au niveau infranational </w:t>
      </w:r>
      <w:r w:rsidR="0050285D" w:rsidRPr="00883F89">
        <w:rPr>
          <w:rFonts w:ascii="Times New Roman" w:hAnsi="Times New Roman" w:cs="Times New Roman"/>
        </w:rPr>
        <w:t xml:space="preserve">ainsi que l’analyse et l’utilisation de ces </w:t>
      </w:r>
      <w:r w:rsidR="00C21404" w:rsidRPr="00883F89">
        <w:rPr>
          <w:rFonts w:ascii="Times New Roman" w:hAnsi="Times New Roman" w:cs="Times New Roman"/>
        </w:rPr>
        <w:t>données</w:t>
      </w:r>
      <w:r w:rsidR="0050285D" w:rsidRPr="00883F89">
        <w:rPr>
          <w:rFonts w:ascii="Times New Roman" w:hAnsi="Times New Roman" w:cs="Times New Roman"/>
        </w:rPr>
        <w:t xml:space="preserve"> par les </w:t>
      </w:r>
      <w:r w:rsidR="00733C4B" w:rsidRPr="00883F89">
        <w:rPr>
          <w:rFonts w:ascii="Times New Roman" w:hAnsi="Times New Roman" w:cs="Times New Roman"/>
        </w:rPr>
        <w:t>régions</w:t>
      </w:r>
      <w:r w:rsidR="0050285D" w:rsidRPr="00883F89">
        <w:rPr>
          <w:rFonts w:ascii="Times New Roman" w:hAnsi="Times New Roman" w:cs="Times New Roman"/>
        </w:rPr>
        <w:t xml:space="preserve"> et districts </w:t>
      </w:r>
      <w:r w:rsidR="00F37A11" w:rsidRPr="00883F89">
        <w:rPr>
          <w:rFonts w:ascii="Times New Roman" w:hAnsi="Times New Roman" w:cs="Times New Roman"/>
        </w:rPr>
        <w:t>permet</w:t>
      </w:r>
      <w:r w:rsidR="00612835" w:rsidRPr="00883F89">
        <w:rPr>
          <w:rFonts w:ascii="Times New Roman" w:hAnsi="Times New Roman" w:cs="Times New Roman"/>
        </w:rPr>
        <w:t>tra</w:t>
      </w:r>
      <w:r w:rsidR="00F37A11" w:rsidRPr="00883F89">
        <w:rPr>
          <w:rFonts w:ascii="Times New Roman" w:hAnsi="Times New Roman" w:cs="Times New Roman"/>
        </w:rPr>
        <w:t xml:space="preserve"> </w:t>
      </w:r>
      <w:r w:rsidR="00227F5A" w:rsidRPr="00883F89">
        <w:rPr>
          <w:rFonts w:ascii="Times New Roman" w:hAnsi="Times New Roman" w:cs="Times New Roman"/>
        </w:rPr>
        <w:t>d</w:t>
      </w:r>
      <w:r w:rsidR="00D165EB" w:rsidRPr="00883F89">
        <w:rPr>
          <w:rFonts w:ascii="Times New Roman" w:hAnsi="Times New Roman" w:cs="Times New Roman"/>
        </w:rPr>
        <w:t xml:space="preserve">e prendre les </w:t>
      </w:r>
      <w:r w:rsidR="00837232" w:rsidRPr="00883F89">
        <w:rPr>
          <w:rFonts w:ascii="Times New Roman" w:hAnsi="Times New Roman" w:cs="Times New Roman"/>
        </w:rPr>
        <w:t>décisions</w:t>
      </w:r>
      <w:r w:rsidR="00D165EB" w:rsidRPr="00883F89">
        <w:rPr>
          <w:rFonts w:ascii="Times New Roman" w:hAnsi="Times New Roman" w:cs="Times New Roman"/>
        </w:rPr>
        <w:t xml:space="preserve"> </w:t>
      </w:r>
      <w:r w:rsidR="00E5732D" w:rsidRPr="00883F89">
        <w:rPr>
          <w:rFonts w:ascii="Times New Roman" w:hAnsi="Times New Roman" w:cs="Times New Roman"/>
        </w:rPr>
        <w:t>et</w:t>
      </w:r>
      <w:r w:rsidR="00C21404" w:rsidRPr="00883F89">
        <w:rPr>
          <w:rFonts w:ascii="Times New Roman" w:hAnsi="Times New Roman" w:cs="Times New Roman"/>
        </w:rPr>
        <w:t xml:space="preserve"> faire les</w:t>
      </w:r>
      <w:r w:rsidR="00E5732D" w:rsidRPr="00883F89">
        <w:rPr>
          <w:rFonts w:ascii="Times New Roman" w:hAnsi="Times New Roman" w:cs="Times New Roman"/>
        </w:rPr>
        <w:t xml:space="preserve"> ajustements </w:t>
      </w:r>
      <w:r w:rsidR="00C21404" w:rsidRPr="00883F89">
        <w:rPr>
          <w:rFonts w:ascii="Times New Roman" w:hAnsi="Times New Roman" w:cs="Times New Roman"/>
        </w:rPr>
        <w:t xml:space="preserve">nécessaires </w:t>
      </w:r>
      <w:r w:rsidR="00E5732D" w:rsidRPr="00883F89">
        <w:rPr>
          <w:rFonts w:ascii="Times New Roman" w:hAnsi="Times New Roman" w:cs="Times New Roman"/>
        </w:rPr>
        <w:t>dans la mise en œuvre du Dossier d’Investissement</w:t>
      </w:r>
      <w:r w:rsidR="00885C0C" w:rsidRPr="00883F89">
        <w:rPr>
          <w:rFonts w:ascii="Times New Roman" w:hAnsi="Times New Roman" w:cs="Times New Roman"/>
        </w:rPr>
        <w:t xml:space="preserve"> pour</w:t>
      </w:r>
      <w:r w:rsidR="00E5732D" w:rsidRPr="00883F89">
        <w:rPr>
          <w:rFonts w:ascii="Times New Roman" w:hAnsi="Times New Roman" w:cs="Times New Roman"/>
        </w:rPr>
        <w:t xml:space="preserve"> </w:t>
      </w:r>
      <w:r w:rsidR="00837232" w:rsidRPr="00883F89">
        <w:rPr>
          <w:rFonts w:ascii="Times New Roman" w:hAnsi="Times New Roman" w:cs="Times New Roman"/>
        </w:rPr>
        <w:t>résoudre</w:t>
      </w:r>
      <w:r w:rsidR="00025FC6" w:rsidRPr="00883F89">
        <w:rPr>
          <w:rFonts w:ascii="Times New Roman" w:hAnsi="Times New Roman" w:cs="Times New Roman"/>
        </w:rPr>
        <w:t xml:space="preserve"> les goulots d’</w:t>
      </w:r>
      <w:r w:rsidR="00733C4B" w:rsidRPr="00883F89">
        <w:rPr>
          <w:rFonts w:ascii="Times New Roman" w:hAnsi="Times New Roman" w:cs="Times New Roman"/>
        </w:rPr>
        <w:t>étranglements</w:t>
      </w:r>
      <w:r w:rsidR="00025FC6" w:rsidRPr="00883F89">
        <w:rPr>
          <w:rFonts w:ascii="Times New Roman" w:hAnsi="Times New Roman" w:cs="Times New Roman"/>
        </w:rPr>
        <w:t xml:space="preserve"> </w:t>
      </w:r>
      <w:r w:rsidR="00CE46BE" w:rsidRPr="00883F89">
        <w:rPr>
          <w:rFonts w:ascii="Times New Roman" w:hAnsi="Times New Roman" w:cs="Times New Roman"/>
        </w:rPr>
        <w:t>qui freinent</w:t>
      </w:r>
      <w:r w:rsidR="00380558" w:rsidRPr="00883F89">
        <w:rPr>
          <w:rFonts w:ascii="Times New Roman" w:hAnsi="Times New Roman" w:cs="Times New Roman"/>
        </w:rPr>
        <w:t xml:space="preserve"> </w:t>
      </w:r>
      <w:r w:rsidR="00733C4B" w:rsidRPr="00883F89">
        <w:rPr>
          <w:rFonts w:ascii="Times New Roman" w:hAnsi="Times New Roman" w:cs="Times New Roman"/>
        </w:rPr>
        <w:t xml:space="preserve">l’atteinte des résultats attendus. </w:t>
      </w:r>
    </w:p>
    <w:p w14:paraId="44493694" w14:textId="16BC5048" w:rsidR="005E2562" w:rsidRDefault="005E2562" w:rsidP="008D6CB1">
      <w:pPr>
        <w:jc w:val="both"/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</w:pPr>
    </w:p>
    <w:p w14:paraId="5160901B" w14:textId="00852D43" w:rsidR="003A2BFE" w:rsidRDefault="003A2BFE" w:rsidP="008D6CB1">
      <w:pPr>
        <w:jc w:val="both"/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</w:pPr>
    </w:p>
    <w:p w14:paraId="10260177" w14:textId="1D12E676" w:rsidR="003A2BFE" w:rsidRDefault="003A2BFE" w:rsidP="008D6CB1">
      <w:pPr>
        <w:jc w:val="both"/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</w:pPr>
    </w:p>
    <w:p w14:paraId="791FECA1" w14:textId="58C5E80B" w:rsidR="003A2BFE" w:rsidRDefault="003A2BFE" w:rsidP="008D6CB1">
      <w:pPr>
        <w:jc w:val="both"/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</w:pPr>
    </w:p>
    <w:p w14:paraId="3B63C07E" w14:textId="7CDC7B16" w:rsidR="003A2BFE" w:rsidRDefault="003A2BFE" w:rsidP="008D6CB1">
      <w:pPr>
        <w:jc w:val="both"/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</w:pPr>
    </w:p>
    <w:p w14:paraId="316AE89D" w14:textId="6D6A9EFB" w:rsidR="003A2BFE" w:rsidRDefault="003A2BFE" w:rsidP="008D6CB1">
      <w:pPr>
        <w:jc w:val="both"/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</w:pPr>
    </w:p>
    <w:p w14:paraId="2E61FC1F" w14:textId="0011EB56" w:rsidR="003A2BFE" w:rsidRDefault="003A2BFE" w:rsidP="008D6CB1">
      <w:pPr>
        <w:jc w:val="both"/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</w:pPr>
    </w:p>
    <w:p w14:paraId="4A7DECF3" w14:textId="5BF814A6" w:rsidR="003A2BFE" w:rsidRDefault="003A2BFE" w:rsidP="008D6CB1">
      <w:pPr>
        <w:jc w:val="both"/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</w:pPr>
    </w:p>
    <w:p w14:paraId="573CFAC5" w14:textId="596D48EF" w:rsidR="003A2BFE" w:rsidRDefault="003A2BFE" w:rsidP="008D6CB1">
      <w:pPr>
        <w:jc w:val="both"/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</w:pPr>
    </w:p>
    <w:p w14:paraId="5093CBD8" w14:textId="51000133" w:rsidR="003A2BFE" w:rsidRDefault="003A2BFE" w:rsidP="008D6CB1">
      <w:pPr>
        <w:jc w:val="both"/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</w:pPr>
    </w:p>
    <w:p w14:paraId="083AD24E" w14:textId="53A2A678" w:rsidR="003A2BFE" w:rsidRDefault="003A2BFE" w:rsidP="008D6CB1">
      <w:pPr>
        <w:jc w:val="both"/>
        <w:rPr>
          <w:rFonts w:ascii="Times New Roman" w:eastAsia="Calibri" w:hAnsi="Times New Roman" w:cs="Times New Roman"/>
          <w:bCs/>
          <w:color w:val="000000" w:themeColor="text1"/>
          <w:shd w:val="clear" w:color="auto" w:fill="FFFFFF"/>
        </w:rPr>
      </w:pPr>
    </w:p>
    <w:p w14:paraId="0BD3F6A6" w14:textId="3FEB6331" w:rsidR="00097DFB" w:rsidRPr="00883F89" w:rsidRDefault="00097DFB" w:rsidP="008D6CB1">
      <w:pPr>
        <w:jc w:val="both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</w:pPr>
      <w:r w:rsidRPr="00883F89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Acronymes :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9900"/>
      </w:tblGrid>
      <w:tr w:rsidR="00682EE1" w:rsidRPr="00883F89" w14:paraId="0F9E51A5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2746" w14:textId="437D59FC" w:rsidR="00682EE1" w:rsidRPr="00883F89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</w:rPr>
              <w:t>ARV</w:t>
            </w:r>
            <w:r w:rsidR="00FF650D" w:rsidRPr="00883F89"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r w:rsidR="00BA58DE" w:rsidRPr="00883F89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="00BA58DE" w:rsidRPr="00883F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nti rétroviraux </w:t>
            </w:r>
          </w:p>
        </w:tc>
      </w:tr>
      <w:tr w:rsidR="00682EE1" w:rsidRPr="00883F89" w14:paraId="196E5E83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D6AC" w14:textId="78C83D4C" w:rsidR="00806095" w:rsidRPr="00AB7CCE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CCE">
              <w:rPr>
                <w:rFonts w:ascii="Times New Roman" w:eastAsia="Times New Roman" w:hAnsi="Times New Roman" w:cs="Times New Roman"/>
                <w:color w:val="000000"/>
              </w:rPr>
              <w:t>ASC</w:t>
            </w:r>
            <w:r w:rsidR="00BA58DE" w:rsidRPr="00AB7CCE">
              <w:rPr>
                <w:rFonts w:ascii="Times New Roman" w:eastAsia="Times New Roman" w:hAnsi="Times New Roman" w:cs="Times New Roman"/>
                <w:color w:val="000000"/>
              </w:rPr>
              <w:t> : Agent de santé communautaire</w:t>
            </w:r>
          </w:p>
        </w:tc>
      </w:tr>
      <w:tr w:rsidR="00682EE1" w:rsidRPr="00883F89" w14:paraId="5BBB7BD5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9777" w14:textId="00525247" w:rsidR="00BA58DE" w:rsidRPr="00883F89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</w:rPr>
              <w:t>CAP</w:t>
            </w:r>
            <w:r w:rsidR="00BA58DE" w:rsidRPr="00883F89">
              <w:rPr>
                <w:rFonts w:ascii="Times New Roman" w:eastAsia="Times New Roman" w:hAnsi="Times New Roman" w:cs="Times New Roman"/>
                <w:color w:val="000000"/>
              </w:rPr>
              <w:t> : Couple-année protection</w:t>
            </w:r>
          </w:p>
        </w:tc>
      </w:tr>
      <w:tr w:rsidR="00682EE1" w:rsidRPr="00883F89" w14:paraId="562EA7C8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7EC8" w14:textId="17D1ADB6" w:rsidR="00682EE1" w:rsidRPr="00883F89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</w:rPr>
              <w:t>CMU</w:t>
            </w:r>
            <w:r w:rsidR="00BA58DE" w:rsidRPr="00883F89">
              <w:rPr>
                <w:rFonts w:ascii="Times New Roman" w:eastAsia="Times New Roman" w:hAnsi="Times New Roman" w:cs="Times New Roman"/>
                <w:color w:val="000000"/>
              </w:rPr>
              <w:t> : Couverture maladie universelle</w:t>
            </w:r>
          </w:p>
        </w:tc>
      </w:tr>
      <w:tr w:rsidR="00682EE1" w:rsidRPr="00883F89" w14:paraId="08DD6D4A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776D" w14:textId="1EFBA516" w:rsidR="00682EE1" w:rsidRPr="00AB7CCE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CCE">
              <w:rPr>
                <w:rFonts w:ascii="Times New Roman" w:eastAsia="Times New Roman" w:hAnsi="Times New Roman" w:cs="Times New Roman"/>
                <w:color w:val="000000"/>
              </w:rPr>
              <w:t>CNAM</w:t>
            </w:r>
            <w:r w:rsidR="00BA58DE" w:rsidRPr="00AB7CCE"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r w:rsidR="004B6A1D" w:rsidRPr="00AB7CCE">
              <w:rPr>
                <w:rFonts w:ascii="Times New Roman" w:eastAsia="Times New Roman" w:hAnsi="Times New Roman" w:cs="Times New Roman"/>
                <w:color w:val="000000"/>
              </w:rPr>
              <w:t>Caisse Nationale de l’Assurance Maladie</w:t>
            </w:r>
          </w:p>
        </w:tc>
      </w:tr>
      <w:tr w:rsidR="00682EE1" w:rsidRPr="00883F89" w14:paraId="3B4586A8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5772" w14:textId="7CFA01F4" w:rsidR="00682EE1" w:rsidRPr="00883F89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CPN</w:t>
            </w:r>
            <w:r w:rsidR="00293446" w:rsidRPr="00883F89">
              <w:rPr>
                <w:rFonts w:ascii="Times New Roman" w:eastAsia="Times New Roman" w:hAnsi="Times New Roman" w:cs="Times New Roman"/>
                <w:color w:val="000000"/>
              </w:rPr>
              <w:t> : Consultation prénatale</w:t>
            </w:r>
          </w:p>
        </w:tc>
      </w:tr>
      <w:tr w:rsidR="00682EE1" w:rsidRPr="00883F89" w14:paraId="74CB3C27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B77D" w14:textId="10DA1279" w:rsidR="00682EE1" w:rsidRPr="00883F89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</w:rPr>
              <w:t>CSD</w:t>
            </w:r>
            <w:r w:rsidR="00293446" w:rsidRPr="00883F89">
              <w:rPr>
                <w:rFonts w:ascii="Times New Roman" w:eastAsia="Times New Roman" w:hAnsi="Times New Roman" w:cs="Times New Roman"/>
                <w:color w:val="000000"/>
              </w:rPr>
              <w:t> : Carte sanitaire dynamique</w:t>
            </w:r>
          </w:p>
        </w:tc>
      </w:tr>
      <w:tr w:rsidR="00682EE1" w:rsidRPr="00883F89" w14:paraId="4134D300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AD36" w14:textId="2D328059" w:rsidR="00682EE1" w:rsidRPr="00AB7CCE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CCE">
              <w:rPr>
                <w:rFonts w:ascii="Times New Roman" w:eastAsia="Times New Roman" w:hAnsi="Times New Roman" w:cs="Times New Roman"/>
                <w:color w:val="000000"/>
              </w:rPr>
              <w:t>CTA</w:t>
            </w:r>
            <w:r w:rsidR="00293446" w:rsidRPr="00AB7CCE"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r w:rsidR="006365DC" w:rsidRPr="00AB7CCE">
              <w:rPr>
                <w:rFonts w:ascii="Times New Roman" w:eastAsia="Times New Roman" w:hAnsi="Times New Roman" w:cs="Times New Roman"/>
                <w:color w:val="000000"/>
              </w:rPr>
              <w:t>Combinaisons thérapeutiques à base d'artémisinine</w:t>
            </w:r>
          </w:p>
        </w:tc>
      </w:tr>
      <w:tr w:rsidR="00682EE1" w:rsidRPr="00883F89" w14:paraId="73660B45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6D6F" w14:textId="31223BDF" w:rsidR="00682EE1" w:rsidRPr="00883F89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</w:rPr>
              <w:t>DAF</w:t>
            </w:r>
            <w:r w:rsidR="00E87C65" w:rsidRPr="00883F89">
              <w:rPr>
                <w:rFonts w:ascii="Times New Roman" w:eastAsia="Times New Roman" w:hAnsi="Times New Roman" w:cs="Times New Roman"/>
                <w:color w:val="000000"/>
              </w:rPr>
              <w:t> : Direction des Affaires Financières</w:t>
            </w:r>
          </w:p>
        </w:tc>
      </w:tr>
      <w:tr w:rsidR="00682EE1" w:rsidRPr="00883F89" w14:paraId="0EA29370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4F01" w14:textId="34FBA7D7" w:rsidR="00682EE1" w:rsidRPr="00883F89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</w:rPr>
              <w:t>DEPS</w:t>
            </w:r>
            <w:r w:rsidR="00F86488" w:rsidRPr="00883F89">
              <w:rPr>
                <w:rFonts w:ascii="Times New Roman" w:eastAsia="Times New Roman" w:hAnsi="Times New Roman" w:cs="Times New Roman"/>
                <w:color w:val="000000"/>
              </w:rPr>
              <w:t> : Direction des Etablissements et des Professions Sanitaires</w:t>
            </w:r>
          </w:p>
        </w:tc>
      </w:tr>
      <w:tr w:rsidR="00682EE1" w:rsidRPr="00822AEF" w14:paraId="050D4311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DA66" w14:textId="25B13012" w:rsidR="00682EE1" w:rsidRPr="00C36091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60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DHIS 2</w:t>
            </w:r>
            <w:r w:rsidR="00883F89" w:rsidRPr="00C360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F86488" w:rsidRPr="00C360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  <w:r w:rsidR="00560171" w:rsidRPr="00C360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District Health Information System 2</w:t>
            </w:r>
          </w:p>
        </w:tc>
      </w:tr>
      <w:tr w:rsidR="00682EE1" w:rsidRPr="00883F89" w14:paraId="6F5DD3B2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85A4" w14:textId="037FF47F" w:rsidR="00682EE1" w:rsidRPr="00AB7CCE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CCE">
              <w:rPr>
                <w:rFonts w:ascii="Times New Roman" w:eastAsia="Times New Roman" w:hAnsi="Times New Roman" w:cs="Times New Roman"/>
                <w:color w:val="000000"/>
              </w:rPr>
              <w:t>DIEM</w:t>
            </w:r>
            <w:r w:rsidR="00560171" w:rsidRPr="00AB7CCE"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r w:rsidR="007E6CD6" w:rsidRPr="00AB7CCE">
              <w:rPr>
                <w:rFonts w:ascii="Times New Roman" w:eastAsia="Times New Roman" w:hAnsi="Times New Roman" w:cs="Times New Roman"/>
                <w:color w:val="000000"/>
              </w:rPr>
              <w:t>Direction de l’Infrastructure, de l’Equipement, et de la Maintenance</w:t>
            </w:r>
          </w:p>
        </w:tc>
      </w:tr>
      <w:tr w:rsidR="00682EE1" w:rsidRPr="00883F89" w14:paraId="7AF686FB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3BD0" w14:textId="45D2232A" w:rsidR="00682EE1" w:rsidRPr="00883F89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</w:rPr>
              <w:t>DI</w:t>
            </w:r>
            <w:r w:rsidR="00D96FD8" w:rsidRPr="00883F89">
              <w:rPr>
                <w:rFonts w:ascii="Times New Roman" w:eastAsia="Times New Roman" w:hAnsi="Times New Roman" w:cs="Times New Roman"/>
                <w:color w:val="000000"/>
              </w:rPr>
              <w:t>IS : Direction de l’Informatique et de l’Information Sanitaire</w:t>
            </w:r>
          </w:p>
        </w:tc>
      </w:tr>
      <w:tr w:rsidR="00682EE1" w:rsidRPr="00883F89" w14:paraId="05587194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4517" w14:textId="434750AC" w:rsidR="00682EE1" w:rsidRPr="00883F89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</w:rPr>
              <w:t>DMHP</w:t>
            </w:r>
            <w:r w:rsidR="00C976DD" w:rsidRPr="00883F89"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r w:rsidR="00262EFF" w:rsidRPr="00883F89">
              <w:rPr>
                <w:rFonts w:ascii="Times New Roman" w:eastAsia="Times New Roman" w:hAnsi="Times New Roman" w:cs="Times New Roman"/>
                <w:color w:val="000000"/>
              </w:rPr>
              <w:t xml:space="preserve">Direction de la Médicine Hospitalière et </w:t>
            </w:r>
            <w:r w:rsidR="00320C5A" w:rsidRPr="00883F89">
              <w:rPr>
                <w:rFonts w:ascii="Times New Roman" w:eastAsia="Times New Roman" w:hAnsi="Times New Roman" w:cs="Times New Roman"/>
                <w:color w:val="000000"/>
              </w:rPr>
              <w:t xml:space="preserve">de </w:t>
            </w:r>
            <w:r w:rsidR="00262EFF" w:rsidRPr="00883F89">
              <w:rPr>
                <w:rFonts w:ascii="Times New Roman" w:eastAsia="Times New Roman" w:hAnsi="Times New Roman" w:cs="Times New Roman"/>
                <w:color w:val="000000"/>
              </w:rPr>
              <w:t>Proximité</w:t>
            </w:r>
          </w:p>
        </w:tc>
      </w:tr>
      <w:tr w:rsidR="00682EE1" w:rsidRPr="00883F89" w14:paraId="72222564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F5A9" w14:textId="1FB257F7" w:rsidR="00682EE1" w:rsidRPr="00883F89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</w:rPr>
              <w:t>DTC-HepB-Hib3</w:t>
            </w:r>
            <w:r w:rsidR="00883F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365DC" w:rsidRPr="00883F89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883F89" w:rsidRPr="00883F89">
              <w:rPr>
                <w:rFonts w:ascii="Times New Roman" w:eastAsia="Times New Roman" w:hAnsi="Times New Roman" w:cs="Times New Roman"/>
                <w:color w:val="000000"/>
              </w:rPr>
              <w:t>Diphtérie</w:t>
            </w:r>
            <w:r w:rsidR="00883867" w:rsidRPr="00883F8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883F89" w:rsidRPr="00883F89">
              <w:rPr>
                <w:rFonts w:ascii="Times New Roman" w:eastAsia="Times New Roman" w:hAnsi="Times New Roman" w:cs="Times New Roman"/>
                <w:color w:val="000000"/>
              </w:rPr>
              <w:t>tétanos</w:t>
            </w:r>
            <w:r w:rsidR="00883867" w:rsidRPr="00883F8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883F89">
              <w:rPr>
                <w:rFonts w:ascii="Times New Roman" w:eastAsia="Times New Roman" w:hAnsi="Times New Roman" w:cs="Times New Roman"/>
                <w:color w:val="000000"/>
              </w:rPr>
              <w:t>coqueluche</w:t>
            </w:r>
            <w:r w:rsidR="00883867" w:rsidRPr="00883F8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883F89" w:rsidRPr="00883F89">
              <w:rPr>
                <w:rFonts w:ascii="Times New Roman" w:eastAsia="Times New Roman" w:hAnsi="Times New Roman" w:cs="Times New Roman"/>
                <w:color w:val="000000"/>
              </w:rPr>
              <w:t>hépatite</w:t>
            </w:r>
            <w:r w:rsidR="00883867" w:rsidRPr="00883F89">
              <w:rPr>
                <w:rFonts w:ascii="Times New Roman" w:eastAsia="Times New Roman" w:hAnsi="Times New Roman" w:cs="Times New Roman"/>
                <w:color w:val="000000"/>
              </w:rPr>
              <w:t xml:space="preserve"> B and Haemophilus influenzae </w:t>
            </w:r>
            <w:r w:rsidR="00883F89">
              <w:rPr>
                <w:rFonts w:ascii="Times New Roman" w:eastAsia="Times New Roman" w:hAnsi="Times New Roman" w:cs="Times New Roman"/>
                <w:color w:val="000000"/>
              </w:rPr>
              <w:t xml:space="preserve">(Hib) type </w:t>
            </w:r>
            <w:r w:rsidR="00883867" w:rsidRPr="00883F89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</w:tr>
      <w:tr w:rsidR="00682EE1" w:rsidRPr="00822AEF" w14:paraId="051C56E4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54BB" w14:textId="6F99DC1D" w:rsidR="00682EE1" w:rsidRPr="00C36091" w:rsidRDefault="00AB7CCE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60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DVDMT :</w:t>
            </w:r>
            <w:r w:rsidR="00883867" w:rsidRPr="00C360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59659A" w:rsidRPr="00C360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District Vaccination Data Management Tool</w:t>
            </w:r>
          </w:p>
        </w:tc>
      </w:tr>
      <w:tr w:rsidR="00682EE1" w:rsidRPr="00883F89" w14:paraId="0632EC25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0AD9" w14:textId="4C13392F" w:rsidR="00682EE1" w:rsidRPr="00AB7CCE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CCE">
              <w:rPr>
                <w:rFonts w:ascii="Times New Roman" w:eastAsia="Times New Roman" w:hAnsi="Times New Roman" w:cs="Times New Roman"/>
                <w:color w:val="000000"/>
              </w:rPr>
              <w:t>EDS</w:t>
            </w:r>
            <w:r w:rsidR="0059659A" w:rsidRPr="00AB7CCE"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r w:rsidR="00AE3610" w:rsidRPr="00AB7CCE">
              <w:rPr>
                <w:rFonts w:ascii="Times New Roman" w:eastAsia="Times New Roman" w:hAnsi="Times New Roman" w:cs="Times New Roman"/>
                <w:color w:val="000000"/>
              </w:rPr>
              <w:t>Enquête Démographique et de Santé</w:t>
            </w:r>
          </w:p>
        </w:tc>
      </w:tr>
      <w:tr w:rsidR="00682EE1" w:rsidRPr="00822AEF" w14:paraId="3055B9E1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38E2" w14:textId="77777777" w:rsidR="00682EE1" w:rsidRPr="00883F89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</w:rPr>
              <w:t>ESPC</w:t>
            </w:r>
            <w:r w:rsidR="007B7437" w:rsidRPr="00883F89"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r w:rsidR="007E7A4F" w:rsidRPr="00883F89">
              <w:rPr>
                <w:rFonts w:ascii="Times New Roman" w:eastAsia="Times New Roman" w:hAnsi="Times New Roman" w:cs="Times New Roman"/>
                <w:color w:val="000000"/>
              </w:rPr>
              <w:t>Etablissement Sanitaire de Premier Contact</w:t>
            </w:r>
          </w:p>
          <w:p w14:paraId="6A99FB97" w14:textId="7C9E3E71" w:rsidR="00D85731" w:rsidRPr="00C36091" w:rsidRDefault="00AB7CCE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360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EQUIST :</w:t>
            </w:r>
            <w:r w:rsidR="00D85731" w:rsidRPr="00C360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152EA7" w:rsidRPr="00C36091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Equitable Impact Sensitive Tool</w:t>
            </w:r>
          </w:p>
        </w:tc>
      </w:tr>
      <w:tr w:rsidR="00682EE1" w:rsidRPr="00883F89" w14:paraId="28968C04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C766" w14:textId="48D3EEA5" w:rsidR="00682EE1" w:rsidRPr="00AB7CCE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CCE">
              <w:rPr>
                <w:rFonts w:ascii="Times New Roman" w:eastAsia="Times New Roman" w:hAnsi="Times New Roman" w:cs="Times New Roman"/>
                <w:color w:val="000000"/>
              </w:rPr>
              <w:t>FBP</w:t>
            </w:r>
            <w:r w:rsidR="007B7437" w:rsidRPr="00AB7CCE">
              <w:rPr>
                <w:rFonts w:ascii="Times New Roman" w:eastAsia="Times New Roman" w:hAnsi="Times New Roman" w:cs="Times New Roman"/>
                <w:color w:val="000000"/>
              </w:rPr>
              <w:t> : Financement Basé sur la Performance</w:t>
            </w:r>
          </w:p>
        </w:tc>
      </w:tr>
      <w:tr w:rsidR="00682EE1" w:rsidRPr="00883F89" w14:paraId="64802EB8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47E0" w14:textId="58E96B05" w:rsidR="00682EE1" w:rsidRPr="00883F89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</w:rPr>
              <w:t>GFF</w:t>
            </w:r>
            <w:r w:rsidR="007E7A4F" w:rsidRPr="00883F89">
              <w:rPr>
                <w:rFonts w:ascii="Times New Roman" w:eastAsia="Times New Roman" w:hAnsi="Times New Roman" w:cs="Times New Roman"/>
                <w:color w:val="000000"/>
              </w:rPr>
              <w:t> : Global Financing Facility</w:t>
            </w:r>
          </w:p>
        </w:tc>
      </w:tr>
      <w:tr w:rsidR="00682EE1" w:rsidRPr="00883F89" w14:paraId="590D5BFD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3A96" w14:textId="27839177" w:rsidR="00682EE1" w:rsidRPr="00AB7CCE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CCE">
              <w:rPr>
                <w:rFonts w:ascii="Times New Roman" w:eastAsia="Times New Roman" w:hAnsi="Times New Roman" w:cs="Times New Roman"/>
                <w:color w:val="000000"/>
              </w:rPr>
              <w:t>GTT</w:t>
            </w:r>
            <w:r w:rsidR="007E7A4F" w:rsidRPr="00AB7CCE">
              <w:rPr>
                <w:rFonts w:ascii="Times New Roman" w:eastAsia="Times New Roman" w:hAnsi="Times New Roman" w:cs="Times New Roman"/>
                <w:color w:val="000000"/>
              </w:rPr>
              <w:t> : Groupe Technique</w:t>
            </w:r>
            <w:r w:rsidR="00297717" w:rsidRPr="00AB7CCE">
              <w:rPr>
                <w:rFonts w:ascii="Times New Roman" w:eastAsia="Times New Roman" w:hAnsi="Times New Roman" w:cs="Times New Roman"/>
                <w:color w:val="000000"/>
              </w:rPr>
              <w:t xml:space="preserve"> de Travail</w:t>
            </w:r>
          </w:p>
        </w:tc>
      </w:tr>
      <w:tr w:rsidR="00682EE1" w:rsidRPr="00883F89" w14:paraId="365C91B4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EE65" w14:textId="1F3941B6" w:rsidR="00682EE1" w:rsidRPr="00883F89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</w:rPr>
              <w:t>INFAS</w:t>
            </w:r>
            <w:r w:rsidR="007E7A4F" w:rsidRPr="00883F89"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r w:rsidR="0019290F" w:rsidRPr="00883F89">
              <w:rPr>
                <w:rFonts w:ascii="Times New Roman" w:eastAsia="Times New Roman" w:hAnsi="Times New Roman" w:cs="Times New Roman"/>
                <w:color w:val="000000"/>
              </w:rPr>
              <w:t>Institut National de la Formation des Agents de Santé</w:t>
            </w:r>
          </w:p>
        </w:tc>
      </w:tr>
      <w:tr w:rsidR="00682EE1" w:rsidRPr="00883F89" w14:paraId="12DFD40B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675B" w14:textId="3BED48FD" w:rsidR="00682EE1" w:rsidRPr="00883F89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</w:rPr>
              <w:t>MAGPI</w:t>
            </w:r>
            <w:r w:rsidR="00653B8E" w:rsidRPr="00883F89"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r w:rsidR="007D2359" w:rsidRPr="00883F89">
              <w:rPr>
                <w:rFonts w:ascii="Times New Roman" w:eastAsia="Times New Roman" w:hAnsi="Times New Roman" w:cs="Times New Roman"/>
                <w:i/>
                <w:color w:val="000000"/>
              </w:rPr>
              <w:t>Outil de collecte des donné</w:t>
            </w:r>
            <w:r w:rsidR="009F6272" w:rsidRPr="00883F89">
              <w:rPr>
                <w:rFonts w:ascii="Times New Roman" w:eastAsia="Times New Roman" w:hAnsi="Times New Roman" w:cs="Times New Roman"/>
                <w:i/>
                <w:color w:val="000000"/>
              </w:rPr>
              <w:t>es sur la surveillance</w:t>
            </w:r>
          </w:p>
        </w:tc>
      </w:tr>
      <w:tr w:rsidR="00682EE1" w:rsidRPr="00883F89" w14:paraId="518CD16F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7680" w14:textId="62693849" w:rsidR="00682EE1" w:rsidRPr="00883F89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</w:rPr>
              <w:t>MICS</w:t>
            </w:r>
            <w:r w:rsidR="00AE3610" w:rsidRPr="00883F89"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r w:rsidR="00653B8E" w:rsidRPr="00883F89">
              <w:rPr>
                <w:rFonts w:ascii="Times New Roman" w:eastAsia="Times New Roman" w:hAnsi="Times New Roman" w:cs="Times New Roman"/>
                <w:color w:val="000000"/>
              </w:rPr>
              <w:t>Multiple Indicator Cluster Survey</w:t>
            </w:r>
          </w:p>
        </w:tc>
      </w:tr>
      <w:tr w:rsidR="00682EE1" w:rsidRPr="00883F89" w14:paraId="42AF3AB0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6D5D" w14:textId="27A6F44E" w:rsidR="00682EE1" w:rsidRPr="00AB7CCE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CCE">
              <w:rPr>
                <w:rFonts w:ascii="Times New Roman" w:eastAsia="Times New Roman" w:hAnsi="Times New Roman" w:cs="Times New Roman"/>
                <w:color w:val="000000"/>
              </w:rPr>
              <w:t>MSHP</w:t>
            </w:r>
            <w:r w:rsidR="007E7A4F" w:rsidRPr="00AB7CCE">
              <w:rPr>
                <w:rFonts w:ascii="Times New Roman" w:eastAsia="Times New Roman" w:hAnsi="Times New Roman" w:cs="Times New Roman"/>
                <w:color w:val="000000"/>
              </w:rPr>
              <w:t> : Ministère de la Santé et de l’</w:t>
            </w:r>
            <w:r w:rsidR="008F4CB9" w:rsidRPr="00AB7CCE">
              <w:rPr>
                <w:rFonts w:ascii="Times New Roman" w:eastAsia="Times New Roman" w:hAnsi="Times New Roman" w:cs="Times New Roman"/>
                <w:color w:val="000000"/>
              </w:rPr>
              <w:t>Hygiène Publique</w:t>
            </w:r>
            <w:r w:rsidR="007E7A4F" w:rsidRPr="00AB7C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82EE1" w:rsidRPr="00883F89" w14:paraId="4A1EA4C6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4ABA" w14:textId="4099F97D" w:rsidR="00682EE1" w:rsidRPr="00883F89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</w:rPr>
              <w:t xml:space="preserve">ND : </w:t>
            </w:r>
            <w:r w:rsidR="00AD47D7" w:rsidRPr="00883F89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883F89">
              <w:rPr>
                <w:rFonts w:ascii="Times New Roman" w:eastAsia="Times New Roman" w:hAnsi="Times New Roman" w:cs="Times New Roman"/>
                <w:color w:val="000000"/>
              </w:rPr>
              <w:t xml:space="preserve">on </w:t>
            </w:r>
            <w:r w:rsidR="00AD47D7" w:rsidRPr="00883F89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883F89">
              <w:rPr>
                <w:rFonts w:ascii="Times New Roman" w:eastAsia="Times New Roman" w:hAnsi="Times New Roman" w:cs="Times New Roman"/>
                <w:color w:val="000000"/>
              </w:rPr>
              <w:t>isponible</w:t>
            </w:r>
          </w:p>
        </w:tc>
      </w:tr>
      <w:tr w:rsidR="00682EE1" w:rsidRPr="00883F89" w14:paraId="7951CBA5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2CA7" w14:textId="16718C4D" w:rsidR="00D85731" w:rsidRPr="00AB7CCE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7CCE">
              <w:rPr>
                <w:rFonts w:ascii="Times New Roman" w:eastAsia="Times New Roman" w:hAnsi="Times New Roman" w:cs="Times New Roman"/>
                <w:color w:val="000000"/>
              </w:rPr>
              <w:t>ODD</w:t>
            </w:r>
            <w:r w:rsidR="008F4CB9" w:rsidRPr="00AB7CCE">
              <w:rPr>
                <w:rFonts w:ascii="Times New Roman" w:eastAsia="Times New Roman" w:hAnsi="Times New Roman" w:cs="Times New Roman"/>
                <w:color w:val="000000"/>
              </w:rPr>
              <w:t> : Objectifs de Développement Durable</w:t>
            </w:r>
          </w:p>
        </w:tc>
      </w:tr>
      <w:tr w:rsidR="00682EE1" w:rsidRPr="00883F89" w14:paraId="2A01979F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75FF" w14:textId="2DEE7E8C" w:rsidR="00682EE1" w:rsidRPr="00883F89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</w:rPr>
              <w:t>PEV</w:t>
            </w:r>
            <w:r w:rsidR="00863B4F" w:rsidRPr="00883F89">
              <w:rPr>
                <w:rFonts w:ascii="Times New Roman" w:eastAsia="Times New Roman" w:hAnsi="Times New Roman" w:cs="Times New Roman"/>
                <w:color w:val="000000"/>
              </w:rPr>
              <w:t> : Programme Elargie de Vaccination</w:t>
            </w:r>
          </w:p>
        </w:tc>
      </w:tr>
      <w:tr w:rsidR="00682EE1" w:rsidRPr="00883F89" w14:paraId="380AC2B3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7C64" w14:textId="4B6B4452" w:rsidR="00682EE1" w:rsidRPr="00883F89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</w:rPr>
              <w:t>PNCFS</w:t>
            </w:r>
            <w:r w:rsidR="008F4CB9" w:rsidRPr="00883F89"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r w:rsidR="00653B8E" w:rsidRPr="00883F89">
              <w:rPr>
                <w:rFonts w:ascii="Times New Roman" w:eastAsia="Times New Roman" w:hAnsi="Times New Roman" w:cs="Times New Roman"/>
                <w:color w:val="000000"/>
              </w:rPr>
              <w:t>Plateforme Nationale de Coordination du Financement de la Santé</w:t>
            </w:r>
          </w:p>
        </w:tc>
      </w:tr>
      <w:tr w:rsidR="00682EE1" w:rsidRPr="00883F89" w14:paraId="08E92590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139D" w14:textId="740E324E" w:rsidR="00682EE1" w:rsidRPr="00883F89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</w:rPr>
              <w:t>PNDAP</w:t>
            </w:r>
            <w:r w:rsidR="00B4118F" w:rsidRPr="00883F89">
              <w:rPr>
                <w:rFonts w:ascii="Times New Roman" w:eastAsia="Times New Roman" w:hAnsi="Times New Roman" w:cs="Times New Roman"/>
                <w:color w:val="000000"/>
              </w:rPr>
              <w:t> : Programme National de Développement de l’Activité Pharmaceutique</w:t>
            </w:r>
          </w:p>
        </w:tc>
      </w:tr>
      <w:tr w:rsidR="00682EE1" w:rsidRPr="00883F89" w14:paraId="4534E9D3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2A946" w14:textId="15D48881" w:rsidR="00682EE1" w:rsidRPr="00883F89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</w:rPr>
              <w:t>PNDS</w:t>
            </w:r>
            <w:r w:rsidR="008F4CB9" w:rsidRPr="00883F89">
              <w:rPr>
                <w:rFonts w:ascii="Times New Roman" w:eastAsia="Times New Roman" w:hAnsi="Times New Roman" w:cs="Times New Roman"/>
                <w:color w:val="000000"/>
              </w:rPr>
              <w:t> : Plan National de Développement Sanitaire</w:t>
            </w:r>
          </w:p>
        </w:tc>
      </w:tr>
      <w:tr w:rsidR="00682EE1" w:rsidRPr="00883F89" w14:paraId="52F4AD71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2630" w14:textId="6BB34F25" w:rsidR="00682EE1" w:rsidRPr="00883F89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</w:rPr>
              <w:t>PNLS</w:t>
            </w:r>
            <w:r w:rsidR="008F4CB9" w:rsidRPr="00883F89"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r w:rsidR="00481B53" w:rsidRPr="00883F89">
              <w:rPr>
                <w:rFonts w:ascii="Times New Roman" w:eastAsia="Times New Roman" w:hAnsi="Times New Roman" w:cs="Times New Roman"/>
                <w:color w:val="000000"/>
              </w:rPr>
              <w:t>Programme</w:t>
            </w:r>
            <w:r w:rsidR="008F4CB9" w:rsidRPr="00883F89">
              <w:rPr>
                <w:rFonts w:ascii="Times New Roman" w:eastAsia="Times New Roman" w:hAnsi="Times New Roman" w:cs="Times New Roman"/>
                <w:color w:val="000000"/>
              </w:rPr>
              <w:t xml:space="preserve"> National de la Lutte contre le Sida</w:t>
            </w:r>
          </w:p>
        </w:tc>
      </w:tr>
      <w:tr w:rsidR="00682EE1" w:rsidRPr="00883F89" w14:paraId="3C8D9695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B620" w14:textId="667879B5" w:rsidR="00682EE1" w:rsidRPr="00883F89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</w:rPr>
              <w:t>PNSME</w:t>
            </w:r>
            <w:r w:rsidR="001179AB" w:rsidRPr="00883F89">
              <w:rPr>
                <w:rFonts w:ascii="Times New Roman" w:eastAsia="Times New Roman" w:hAnsi="Times New Roman" w:cs="Times New Roman"/>
                <w:color w:val="000000"/>
              </w:rPr>
              <w:t> : Programme National de Santé de la Mère et de l’Enfant</w:t>
            </w:r>
          </w:p>
        </w:tc>
      </w:tr>
      <w:tr w:rsidR="00682EE1" w:rsidRPr="00883F89" w14:paraId="2C791BCD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AB5F" w14:textId="4FAE91CD" w:rsidR="00682EE1" w:rsidRPr="00883F89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</w:rPr>
              <w:t>SARA</w:t>
            </w:r>
            <w:r w:rsidR="00FB65AD" w:rsidRPr="00883F89"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r w:rsidR="00615CBD" w:rsidRPr="00883F89">
              <w:rPr>
                <w:rFonts w:ascii="Times New Roman" w:eastAsia="Times New Roman" w:hAnsi="Times New Roman" w:cs="Times New Roman"/>
                <w:color w:val="000000"/>
              </w:rPr>
              <w:t>Evaluation de la Disponibilité et de la Capacité opérationnelle des Services de santé</w:t>
            </w:r>
          </w:p>
        </w:tc>
      </w:tr>
      <w:tr w:rsidR="00682EE1" w:rsidRPr="00883F89" w14:paraId="69BDD5D2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5B78" w14:textId="15B1216D" w:rsidR="00682EE1" w:rsidRPr="00883F89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</w:rPr>
              <w:t>SNIS</w:t>
            </w:r>
            <w:r w:rsidR="008F4CB9" w:rsidRPr="00883F89">
              <w:rPr>
                <w:rFonts w:ascii="Times New Roman" w:eastAsia="Times New Roman" w:hAnsi="Times New Roman" w:cs="Times New Roman"/>
                <w:color w:val="000000"/>
              </w:rPr>
              <w:t> : Système National d’Information Sanitaire</w:t>
            </w:r>
          </w:p>
        </w:tc>
      </w:tr>
      <w:tr w:rsidR="00682EE1" w:rsidRPr="00883F89" w14:paraId="27C13259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164E" w14:textId="77777777" w:rsidR="00D157D3" w:rsidRPr="00883F89" w:rsidRDefault="00682EE1" w:rsidP="006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</w:rPr>
              <w:t>SONU</w:t>
            </w:r>
            <w:r w:rsidR="008F4CB9" w:rsidRPr="00883F89"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r w:rsidR="006800F6" w:rsidRPr="00883F89">
              <w:rPr>
                <w:rFonts w:ascii="Times New Roman" w:eastAsia="Times New Roman" w:hAnsi="Times New Roman" w:cs="Times New Roman"/>
                <w:color w:val="000000"/>
              </w:rPr>
              <w:t>Soins Obstétricaux et Néonatals d’Urgence</w:t>
            </w:r>
          </w:p>
          <w:p w14:paraId="32C0C137" w14:textId="7E3D33D3" w:rsidR="00682EE1" w:rsidRPr="00883F89" w:rsidRDefault="00D157D3" w:rsidP="0068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</w:rPr>
              <w:t xml:space="preserve">SPARK : </w:t>
            </w:r>
            <w:r w:rsidR="006800F6" w:rsidRPr="00883F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82EE1" w:rsidRPr="00883F89" w14:paraId="7C20695D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523B" w14:textId="07F0523B" w:rsidR="00682EE1" w:rsidRPr="00883F89" w:rsidRDefault="00682EE1" w:rsidP="00E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</w:rPr>
              <w:t>SRMNIA-N</w:t>
            </w:r>
            <w:r w:rsidR="006800F6" w:rsidRPr="00883F89"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r w:rsidR="00E47564" w:rsidRPr="00883F89">
              <w:rPr>
                <w:rFonts w:ascii="Times New Roman" w:eastAsia="Times New Roman" w:hAnsi="Times New Roman" w:cs="Times New Roman"/>
                <w:color w:val="000000"/>
              </w:rPr>
              <w:t>Santé Reproductive, Maternelle, Néonatale, Infantile et de l'Adolescent - Nutrition</w:t>
            </w:r>
          </w:p>
        </w:tc>
      </w:tr>
      <w:tr w:rsidR="00682EE1" w:rsidRPr="00883F89" w14:paraId="29D5290B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FD04" w14:textId="150658F5" w:rsidR="00682EE1" w:rsidRPr="00883F89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</w:rPr>
              <w:t>SRO</w:t>
            </w:r>
            <w:r w:rsidR="00E47564" w:rsidRPr="00883F89"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r w:rsidR="00DF6390" w:rsidRPr="00883F89">
              <w:rPr>
                <w:rFonts w:ascii="Times New Roman" w:eastAsia="Times New Roman" w:hAnsi="Times New Roman" w:cs="Times New Roman"/>
                <w:color w:val="000000"/>
              </w:rPr>
              <w:t xml:space="preserve">Sels de réhydratation orale </w:t>
            </w:r>
          </w:p>
        </w:tc>
      </w:tr>
      <w:tr w:rsidR="00682EE1" w:rsidRPr="00883F89" w14:paraId="624F8C8C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5360" w14:textId="4EA98987" w:rsidR="00682EE1" w:rsidRPr="00883F89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</w:rPr>
              <w:t>SSP</w:t>
            </w:r>
            <w:r w:rsidR="00FB65AD" w:rsidRPr="00883F89">
              <w:rPr>
                <w:rFonts w:ascii="Times New Roman" w:eastAsia="Times New Roman" w:hAnsi="Times New Roman" w:cs="Times New Roman"/>
                <w:color w:val="000000"/>
              </w:rPr>
              <w:t> : Soins de Santé Primaire</w:t>
            </w:r>
          </w:p>
        </w:tc>
      </w:tr>
      <w:tr w:rsidR="00682EE1" w:rsidRPr="00883F89" w14:paraId="5F3860F8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CEAC" w14:textId="5DCE6345" w:rsidR="00682EE1" w:rsidRPr="00883F89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r w:rsidR="00FB65AD" w:rsidRPr="00883F89">
              <w:rPr>
                <w:rFonts w:ascii="Times New Roman" w:eastAsia="Times New Roman" w:hAnsi="Times New Roman" w:cs="Times New Roman"/>
                <w:color w:val="000000"/>
              </w:rPr>
              <w:t xml:space="preserve"> : Secrétariat </w:t>
            </w:r>
            <w:r w:rsidR="00883F89" w:rsidRPr="00883F89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FB65AD" w:rsidRPr="00883F89">
              <w:rPr>
                <w:rFonts w:ascii="Times New Roman" w:eastAsia="Times New Roman" w:hAnsi="Times New Roman" w:cs="Times New Roman"/>
                <w:color w:val="000000"/>
              </w:rPr>
              <w:t>echnique</w:t>
            </w:r>
          </w:p>
        </w:tc>
      </w:tr>
      <w:tr w:rsidR="00682EE1" w:rsidRPr="00883F89" w14:paraId="6B0DD833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E4AF" w14:textId="3BD9DE84" w:rsidR="00682EE1" w:rsidRPr="00883F89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</w:rPr>
              <w:t>UCP-BM</w:t>
            </w:r>
            <w:r w:rsidR="00FB65AD" w:rsidRPr="00883F89">
              <w:rPr>
                <w:rFonts w:ascii="Times New Roman" w:eastAsia="Times New Roman" w:hAnsi="Times New Roman" w:cs="Times New Roman"/>
                <w:color w:val="000000"/>
              </w:rPr>
              <w:t> : Unité de Coordination des Programmes de la Banque Mondiale</w:t>
            </w:r>
          </w:p>
        </w:tc>
      </w:tr>
      <w:tr w:rsidR="00682EE1" w:rsidRPr="00883F89" w14:paraId="6FD8895E" w14:textId="77777777" w:rsidTr="00E47564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1970" w14:textId="0F990EE6" w:rsidR="00682EE1" w:rsidRPr="00883F89" w:rsidRDefault="00682EE1" w:rsidP="0068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3F89">
              <w:rPr>
                <w:rFonts w:ascii="Times New Roman" w:eastAsia="Times New Roman" w:hAnsi="Times New Roman" w:cs="Times New Roman"/>
                <w:color w:val="000000"/>
              </w:rPr>
              <w:t>VIH</w:t>
            </w:r>
            <w:r w:rsidR="00DF6390" w:rsidRPr="00883F89">
              <w:rPr>
                <w:rFonts w:ascii="Times New Roman" w:eastAsia="Times New Roman" w:hAnsi="Times New Roman" w:cs="Times New Roman"/>
                <w:color w:val="000000"/>
              </w:rPr>
              <w:t xml:space="preserve"> : </w:t>
            </w:r>
            <w:r w:rsidR="00AF6830" w:rsidRPr="00883F89">
              <w:rPr>
                <w:rFonts w:ascii="Times New Roman" w:eastAsia="Times New Roman" w:hAnsi="Times New Roman" w:cs="Times New Roman"/>
                <w:color w:val="000000"/>
              </w:rPr>
              <w:t>Virus de l'Immunodéficience Humaine</w:t>
            </w:r>
          </w:p>
        </w:tc>
      </w:tr>
    </w:tbl>
    <w:p w14:paraId="75E92787" w14:textId="77777777" w:rsidR="00C81385" w:rsidRPr="00883F89" w:rsidRDefault="00C81385" w:rsidP="008D6CB1">
      <w:pPr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</w:p>
    <w:p w14:paraId="6EFBED6A" w14:textId="77777777" w:rsidR="00C81385" w:rsidRPr="00883F89" w:rsidRDefault="00C81385" w:rsidP="00FE3518">
      <w:pPr>
        <w:jc w:val="center"/>
        <w:rPr>
          <w:b/>
        </w:rPr>
      </w:pPr>
    </w:p>
    <w:sectPr w:rsidR="00C81385" w:rsidRPr="00883F89" w:rsidSect="00D26F3C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0D01A" w14:textId="77777777" w:rsidR="00DD1D87" w:rsidRDefault="00DD1D87" w:rsidP="00787196">
      <w:pPr>
        <w:spacing w:after="0" w:line="240" w:lineRule="auto"/>
      </w:pPr>
      <w:r>
        <w:separator/>
      </w:r>
    </w:p>
  </w:endnote>
  <w:endnote w:type="continuationSeparator" w:id="0">
    <w:p w14:paraId="1A937821" w14:textId="77777777" w:rsidR="00DD1D87" w:rsidRDefault="00DD1D87" w:rsidP="00787196">
      <w:pPr>
        <w:spacing w:after="0" w:line="240" w:lineRule="auto"/>
      </w:pPr>
      <w:r>
        <w:continuationSeparator/>
      </w:r>
    </w:p>
  </w:endnote>
  <w:endnote w:type="continuationNotice" w:id="1">
    <w:p w14:paraId="5714610F" w14:textId="77777777" w:rsidR="00DD1D87" w:rsidRDefault="00DD1D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65277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6570B749" w14:textId="60D43D68" w:rsidR="00822AEF" w:rsidRPr="004C3957" w:rsidRDefault="00822AEF">
        <w:pPr>
          <w:pStyle w:val="Pieddepage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C395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C3957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4C395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772C2">
          <w:rPr>
            <w:rFonts w:ascii="Times New Roman" w:hAnsi="Times New Roman" w:cs="Times New Roman"/>
            <w:noProof/>
            <w:sz w:val="18"/>
            <w:szCs w:val="18"/>
          </w:rPr>
          <w:t>8</w:t>
        </w:r>
        <w:r w:rsidRPr="004C3957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117D7D52" w14:textId="77777777" w:rsidR="00822AEF" w:rsidRDefault="00822A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A689E" w14:textId="77777777" w:rsidR="00DD1D87" w:rsidRDefault="00DD1D87" w:rsidP="00787196">
      <w:pPr>
        <w:spacing w:after="0" w:line="240" w:lineRule="auto"/>
      </w:pPr>
      <w:r>
        <w:separator/>
      </w:r>
    </w:p>
  </w:footnote>
  <w:footnote w:type="continuationSeparator" w:id="0">
    <w:p w14:paraId="1876095B" w14:textId="77777777" w:rsidR="00DD1D87" w:rsidRDefault="00DD1D87" w:rsidP="00787196">
      <w:pPr>
        <w:spacing w:after="0" w:line="240" w:lineRule="auto"/>
      </w:pPr>
      <w:r>
        <w:continuationSeparator/>
      </w:r>
    </w:p>
  </w:footnote>
  <w:footnote w:type="continuationNotice" w:id="1">
    <w:p w14:paraId="6C8C4B28" w14:textId="77777777" w:rsidR="00DD1D87" w:rsidRDefault="00DD1D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6C31"/>
    <w:multiLevelType w:val="hybridMultilevel"/>
    <w:tmpl w:val="E47E7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347D0"/>
    <w:multiLevelType w:val="hybridMultilevel"/>
    <w:tmpl w:val="A45E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C007F"/>
    <w:multiLevelType w:val="hybridMultilevel"/>
    <w:tmpl w:val="68203216"/>
    <w:lvl w:ilvl="0" w:tplc="6D1C56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12919"/>
    <w:multiLevelType w:val="multilevel"/>
    <w:tmpl w:val="A802D4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EFF1F72"/>
    <w:multiLevelType w:val="hybridMultilevel"/>
    <w:tmpl w:val="432424D0"/>
    <w:lvl w:ilvl="0" w:tplc="6D1C56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7791A"/>
    <w:multiLevelType w:val="multilevel"/>
    <w:tmpl w:val="3784143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793141F"/>
    <w:multiLevelType w:val="hybridMultilevel"/>
    <w:tmpl w:val="178CDA8C"/>
    <w:lvl w:ilvl="0" w:tplc="6D1C56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C07A1"/>
    <w:multiLevelType w:val="hybridMultilevel"/>
    <w:tmpl w:val="D66EB948"/>
    <w:lvl w:ilvl="0" w:tplc="AA04D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50D57"/>
    <w:multiLevelType w:val="hybridMultilevel"/>
    <w:tmpl w:val="EABA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75F7D"/>
    <w:multiLevelType w:val="hybridMultilevel"/>
    <w:tmpl w:val="05644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6976E1"/>
    <w:multiLevelType w:val="multilevel"/>
    <w:tmpl w:val="2CCE4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BCF38BC"/>
    <w:multiLevelType w:val="hybridMultilevel"/>
    <w:tmpl w:val="769A9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E96D30"/>
    <w:multiLevelType w:val="hybridMultilevel"/>
    <w:tmpl w:val="6FF6C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040690"/>
    <w:multiLevelType w:val="hybridMultilevel"/>
    <w:tmpl w:val="F2A2D1F0"/>
    <w:lvl w:ilvl="0" w:tplc="6D1C56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D686E"/>
    <w:multiLevelType w:val="hybridMultilevel"/>
    <w:tmpl w:val="258C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C58A8"/>
    <w:multiLevelType w:val="hybridMultilevel"/>
    <w:tmpl w:val="E7D225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6BB2C7A"/>
    <w:multiLevelType w:val="hybridMultilevel"/>
    <w:tmpl w:val="D3249A0C"/>
    <w:lvl w:ilvl="0" w:tplc="AA04D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A4EC6"/>
    <w:multiLevelType w:val="multilevel"/>
    <w:tmpl w:val="3784143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2"/>
  </w:num>
  <w:num w:numId="5">
    <w:abstractNumId w:val="4"/>
  </w:num>
  <w:num w:numId="6">
    <w:abstractNumId w:val="11"/>
  </w:num>
  <w:num w:numId="7">
    <w:abstractNumId w:val="0"/>
  </w:num>
  <w:num w:numId="8">
    <w:abstractNumId w:val="12"/>
  </w:num>
  <w:num w:numId="9">
    <w:abstractNumId w:val="15"/>
  </w:num>
  <w:num w:numId="10">
    <w:abstractNumId w:val="1"/>
  </w:num>
  <w:num w:numId="11">
    <w:abstractNumId w:val="9"/>
  </w:num>
  <w:num w:numId="12">
    <w:abstractNumId w:val="14"/>
  </w:num>
  <w:num w:numId="13">
    <w:abstractNumId w:val="10"/>
  </w:num>
  <w:num w:numId="14">
    <w:abstractNumId w:val="7"/>
  </w:num>
  <w:num w:numId="15">
    <w:abstractNumId w:val="16"/>
  </w:num>
  <w:num w:numId="16">
    <w:abstractNumId w:val="17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FB"/>
    <w:rsid w:val="00000D0A"/>
    <w:rsid w:val="00001AD7"/>
    <w:rsid w:val="00002D24"/>
    <w:rsid w:val="00004037"/>
    <w:rsid w:val="00004DD8"/>
    <w:rsid w:val="0000550E"/>
    <w:rsid w:val="00015583"/>
    <w:rsid w:val="00017315"/>
    <w:rsid w:val="00017333"/>
    <w:rsid w:val="0001752D"/>
    <w:rsid w:val="00017826"/>
    <w:rsid w:val="00020795"/>
    <w:rsid w:val="00021375"/>
    <w:rsid w:val="0002579F"/>
    <w:rsid w:val="00025FC6"/>
    <w:rsid w:val="000274C6"/>
    <w:rsid w:val="00027C0F"/>
    <w:rsid w:val="000310A6"/>
    <w:rsid w:val="0003126E"/>
    <w:rsid w:val="00031B0F"/>
    <w:rsid w:val="00035CD6"/>
    <w:rsid w:val="000368C5"/>
    <w:rsid w:val="00037D7B"/>
    <w:rsid w:val="0004009F"/>
    <w:rsid w:val="00041004"/>
    <w:rsid w:val="00043E9B"/>
    <w:rsid w:val="0004469A"/>
    <w:rsid w:val="000461C1"/>
    <w:rsid w:val="00046F53"/>
    <w:rsid w:val="000471C5"/>
    <w:rsid w:val="0005340F"/>
    <w:rsid w:val="00053E60"/>
    <w:rsid w:val="00054587"/>
    <w:rsid w:val="00055CF3"/>
    <w:rsid w:val="000566E4"/>
    <w:rsid w:val="00061A1D"/>
    <w:rsid w:val="000627D6"/>
    <w:rsid w:val="00063A65"/>
    <w:rsid w:val="0006596F"/>
    <w:rsid w:val="000661E0"/>
    <w:rsid w:val="0006693B"/>
    <w:rsid w:val="00070126"/>
    <w:rsid w:val="000714EC"/>
    <w:rsid w:val="000736D9"/>
    <w:rsid w:val="000742D3"/>
    <w:rsid w:val="000751BF"/>
    <w:rsid w:val="000759A3"/>
    <w:rsid w:val="000775DD"/>
    <w:rsid w:val="000813B6"/>
    <w:rsid w:val="0008483D"/>
    <w:rsid w:val="0008489E"/>
    <w:rsid w:val="0008546C"/>
    <w:rsid w:val="00090C85"/>
    <w:rsid w:val="000950C1"/>
    <w:rsid w:val="00095808"/>
    <w:rsid w:val="00097B8C"/>
    <w:rsid w:val="00097C31"/>
    <w:rsid w:val="00097DFB"/>
    <w:rsid w:val="000A11A9"/>
    <w:rsid w:val="000A145E"/>
    <w:rsid w:val="000A17B2"/>
    <w:rsid w:val="000A2EBB"/>
    <w:rsid w:val="000A7CEB"/>
    <w:rsid w:val="000B141B"/>
    <w:rsid w:val="000B244B"/>
    <w:rsid w:val="000B30DE"/>
    <w:rsid w:val="000B6383"/>
    <w:rsid w:val="000C40A8"/>
    <w:rsid w:val="000C4FC3"/>
    <w:rsid w:val="000C7864"/>
    <w:rsid w:val="000D149F"/>
    <w:rsid w:val="000D189F"/>
    <w:rsid w:val="000D4590"/>
    <w:rsid w:val="000D533D"/>
    <w:rsid w:val="000D55D0"/>
    <w:rsid w:val="000D6A2C"/>
    <w:rsid w:val="000D6D64"/>
    <w:rsid w:val="000D70F9"/>
    <w:rsid w:val="000E024D"/>
    <w:rsid w:val="000E04E4"/>
    <w:rsid w:val="000E0907"/>
    <w:rsid w:val="000E0FEA"/>
    <w:rsid w:val="000E1CE0"/>
    <w:rsid w:val="000E37D2"/>
    <w:rsid w:val="000E4107"/>
    <w:rsid w:val="000E4824"/>
    <w:rsid w:val="000E6858"/>
    <w:rsid w:val="000E720C"/>
    <w:rsid w:val="000F0D15"/>
    <w:rsid w:val="000F1489"/>
    <w:rsid w:val="000F1940"/>
    <w:rsid w:val="000F2D72"/>
    <w:rsid w:val="000F5A80"/>
    <w:rsid w:val="000F625C"/>
    <w:rsid w:val="000F6C33"/>
    <w:rsid w:val="000F73A1"/>
    <w:rsid w:val="0010042B"/>
    <w:rsid w:val="00100EEB"/>
    <w:rsid w:val="001014EB"/>
    <w:rsid w:val="00103565"/>
    <w:rsid w:val="001069CC"/>
    <w:rsid w:val="00106F5A"/>
    <w:rsid w:val="001072D2"/>
    <w:rsid w:val="001122FF"/>
    <w:rsid w:val="0011327F"/>
    <w:rsid w:val="001143A9"/>
    <w:rsid w:val="00116B51"/>
    <w:rsid w:val="00116F99"/>
    <w:rsid w:val="001179AB"/>
    <w:rsid w:val="00120974"/>
    <w:rsid w:val="00121A0D"/>
    <w:rsid w:val="00125152"/>
    <w:rsid w:val="00125E67"/>
    <w:rsid w:val="00125F94"/>
    <w:rsid w:val="001261FE"/>
    <w:rsid w:val="00126282"/>
    <w:rsid w:val="001270E4"/>
    <w:rsid w:val="00132BC4"/>
    <w:rsid w:val="0013480B"/>
    <w:rsid w:val="001418C2"/>
    <w:rsid w:val="0014207F"/>
    <w:rsid w:val="00142152"/>
    <w:rsid w:val="00144053"/>
    <w:rsid w:val="00146700"/>
    <w:rsid w:val="00147B0F"/>
    <w:rsid w:val="00147B10"/>
    <w:rsid w:val="00151375"/>
    <w:rsid w:val="00151CED"/>
    <w:rsid w:val="001525F4"/>
    <w:rsid w:val="00152EA7"/>
    <w:rsid w:val="00157031"/>
    <w:rsid w:val="00160465"/>
    <w:rsid w:val="0016113B"/>
    <w:rsid w:val="00164168"/>
    <w:rsid w:val="001651D9"/>
    <w:rsid w:val="00166486"/>
    <w:rsid w:val="00166AA2"/>
    <w:rsid w:val="00167544"/>
    <w:rsid w:val="001676E0"/>
    <w:rsid w:val="001725E8"/>
    <w:rsid w:val="0017262D"/>
    <w:rsid w:val="00173577"/>
    <w:rsid w:val="00175281"/>
    <w:rsid w:val="00175F72"/>
    <w:rsid w:val="001804FE"/>
    <w:rsid w:val="001853BF"/>
    <w:rsid w:val="001871A1"/>
    <w:rsid w:val="00187B73"/>
    <w:rsid w:val="001901F4"/>
    <w:rsid w:val="00192683"/>
    <w:rsid w:val="0019290F"/>
    <w:rsid w:val="00192CD4"/>
    <w:rsid w:val="00192D10"/>
    <w:rsid w:val="001930E3"/>
    <w:rsid w:val="001964FB"/>
    <w:rsid w:val="00197F3A"/>
    <w:rsid w:val="001A05B0"/>
    <w:rsid w:val="001A1F58"/>
    <w:rsid w:val="001A295C"/>
    <w:rsid w:val="001A42EA"/>
    <w:rsid w:val="001A4E47"/>
    <w:rsid w:val="001A6E39"/>
    <w:rsid w:val="001B146F"/>
    <w:rsid w:val="001B30D9"/>
    <w:rsid w:val="001B3598"/>
    <w:rsid w:val="001B6141"/>
    <w:rsid w:val="001C035E"/>
    <w:rsid w:val="001C0593"/>
    <w:rsid w:val="001C0CD0"/>
    <w:rsid w:val="001C6B18"/>
    <w:rsid w:val="001C6C7E"/>
    <w:rsid w:val="001C7012"/>
    <w:rsid w:val="001C71B0"/>
    <w:rsid w:val="001C7B7E"/>
    <w:rsid w:val="001D09B5"/>
    <w:rsid w:val="001D0E44"/>
    <w:rsid w:val="001D49C4"/>
    <w:rsid w:val="001D4FA6"/>
    <w:rsid w:val="001D6CE9"/>
    <w:rsid w:val="001D7603"/>
    <w:rsid w:val="001E0FAC"/>
    <w:rsid w:val="001F0824"/>
    <w:rsid w:val="001F16A1"/>
    <w:rsid w:val="001F172E"/>
    <w:rsid w:val="001F1AD4"/>
    <w:rsid w:val="001F2D10"/>
    <w:rsid w:val="001F480C"/>
    <w:rsid w:val="001F4EB3"/>
    <w:rsid w:val="001F5AE1"/>
    <w:rsid w:val="0020148D"/>
    <w:rsid w:val="0020245F"/>
    <w:rsid w:val="0020392B"/>
    <w:rsid w:val="0020401F"/>
    <w:rsid w:val="0020427F"/>
    <w:rsid w:val="00205541"/>
    <w:rsid w:val="00207814"/>
    <w:rsid w:val="00210715"/>
    <w:rsid w:val="0021147A"/>
    <w:rsid w:val="00211972"/>
    <w:rsid w:val="00220098"/>
    <w:rsid w:val="00222498"/>
    <w:rsid w:val="00222FBD"/>
    <w:rsid w:val="00224CB4"/>
    <w:rsid w:val="0022586E"/>
    <w:rsid w:val="00225E2F"/>
    <w:rsid w:val="002263D3"/>
    <w:rsid w:val="00227F5A"/>
    <w:rsid w:val="0023246D"/>
    <w:rsid w:val="00232617"/>
    <w:rsid w:val="00232EF9"/>
    <w:rsid w:val="00233066"/>
    <w:rsid w:val="002330B3"/>
    <w:rsid w:val="00233931"/>
    <w:rsid w:val="002342D2"/>
    <w:rsid w:val="002350FC"/>
    <w:rsid w:val="002362B8"/>
    <w:rsid w:val="00240CAF"/>
    <w:rsid w:val="002411B9"/>
    <w:rsid w:val="00241B22"/>
    <w:rsid w:val="00242823"/>
    <w:rsid w:val="00243D3E"/>
    <w:rsid w:val="0024448A"/>
    <w:rsid w:val="002449CA"/>
    <w:rsid w:val="00246699"/>
    <w:rsid w:val="002471FF"/>
    <w:rsid w:val="002508D2"/>
    <w:rsid w:val="0025098C"/>
    <w:rsid w:val="0025149E"/>
    <w:rsid w:val="00251EC3"/>
    <w:rsid w:val="00262EFF"/>
    <w:rsid w:val="002645AB"/>
    <w:rsid w:val="0026728A"/>
    <w:rsid w:val="00271F3D"/>
    <w:rsid w:val="002735EC"/>
    <w:rsid w:val="00274443"/>
    <w:rsid w:val="00275E05"/>
    <w:rsid w:val="0028179A"/>
    <w:rsid w:val="002824D4"/>
    <w:rsid w:val="00290DD1"/>
    <w:rsid w:val="00292E53"/>
    <w:rsid w:val="00292F31"/>
    <w:rsid w:val="00293446"/>
    <w:rsid w:val="00294822"/>
    <w:rsid w:val="00296103"/>
    <w:rsid w:val="00296A73"/>
    <w:rsid w:val="002970AB"/>
    <w:rsid w:val="00297717"/>
    <w:rsid w:val="002A35A9"/>
    <w:rsid w:val="002A391D"/>
    <w:rsid w:val="002A3992"/>
    <w:rsid w:val="002A4869"/>
    <w:rsid w:val="002A741B"/>
    <w:rsid w:val="002A78DB"/>
    <w:rsid w:val="002B0760"/>
    <w:rsid w:val="002B214A"/>
    <w:rsid w:val="002B43BA"/>
    <w:rsid w:val="002B56E4"/>
    <w:rsid w:val="002B6E01"/>
    <w:rsid w:val="002B775D"/>
    <w:rsid w:val="002C0F8A"/>
    <w:rsid w:val="002C2089"/>
    <w:rsid w:val="002C2DC5"/>
    <w:rsid w:val="002C3518"/>
    <w:rsid w:val="002C435F"/>
    <w:rsid w:val="002C4899"/>
    <w:rsid w:val="002C4E2E"/>
    <w:rsid w:val="002D1793"/>
    <w:rsid w:val="002D27E4"/>
    <w:rsid w:val="002D4037"/>
    <w:rsid w:val="002D648C"/>
    <w:rsid w:val="002D7954"/>
    <w:rsid w:val="002E1E2D"/>
    <w:rsid w:val="002E20DF"/>
    <w:rsid w:val="002F44E2"/>
    <w:rsid w:val="002F55D9"/>
    <w:rsid w:val="002F5639"/>
    <w:rsid w:val="002F5E1B"/>
    <w:rsid w:val="003004AE"/>
    <w:rsid w:val="0030613B"/>
    <w:rsid w:val="0030706F"/>
    <w:rsid w:val="00307569"/>
    <w:rsid w:val="00307B1A"/>
    <w:rsid w:val="003110BD"/>
    <w:rsid w:val="0031307B"/>
    <w:rsid w:val="00313910"/>
    <w:rsid w:val="00314343"/>
    <w:rsid w:val="00316966"/>
    <w:rsid w:val="00317F6D"/>
    <w:rsid w:val="00320C5A"/>
    <w:rsid w:val="0032115D"/>
    <w:rsid w:val="00322102"/>
    <w:rsid w:val="003221A8"/>
    <w:rsid w:val="00322630"/>
    <w:rsid w:val="003236B4"/>
    <w:rsid w:val="003243DF"/>
    <w:rsid w:val="00325635"/>
    <w:rsid w:val="00326617"/>
    <w:rsid w:val="00327091"/>
    <w:rsid w:val="00330CDC"/>
    <w:rsid w:val="00330D05"/>
    <w:rsid w:val="00330F7D"/>
    <w:rsid w:val="00332B29"/>
    <w:rsid w:val="00332F4C"/>
    <w:rsid w:val="00333CA2"/>
    <w:rsid w:val="00333CC4"/>
    <w:rsid w:val="00334B87"/>
    <w:rsid w:val="00334F3D"/>
    <w:rsid w:val="0034361D"/>
    <w:rsid w:val="00344245"/>
    <w:rsid w:val="00344BFE"/>
    <w:rsid w:val="00347081"/>
    <w:rsid w:val="0034721B"/>
    <w:rsid w:val="00352653"/>
    <w:rsid w:val="00352807"/>
    <w:rsid w:val="0035350D"/>
    <w:rsid w:val="003540FD"/>
    <w:rsid w:val="00354528"/>
    <w:rsid w:val="00354F29"/>
    <w:rsid w:val="00355E47"/>
    <w:rsid w:val="00357F99"/>
    <w:rsid w:val="0036050C"/>
    <w:rsid w:val="003611F8"/>
    <w:rsid w:val="00362E3A"/>
    <w:rsid w:val="00366731"/>
    <w:rsid w:val="00366BC3"/>
    <w:rsid w:val="00370D2B"/>
    <w:rsid w:val="0037244A"/>
    <w:rsid w:val="00375F51"/>
    <w:rsid w:val="003766BD"/>
    <w:rsid w:val="003777D2"/>
    <w:rsid w:val="003802F8"/>
    <w:rsid w:val="00380404"/>
    <w:rsid w:val="00380558"/>
    <w:rsid w:val="0038071C"/>
    <w:rsid w:val="00381216"/>
    <w:rsid w:val="00383113"/>
    <w:rsid w:val="00383F1F"/>
    <w:rsid w:val="003845F3"/>
    <w:rsid w:val="00385C68"/>
    <w:rsid w:val="003872E9"/>
    <w:rsid w:val="00387587"/>
    <w:rsid w:val="0039115F"/>
    <w:rsid w:val="003913D1"/>
    <w:rsid w:val="003936D6"/>
    <w:rsid w:val="00393E1E"/>
    <w:rsid w:val="00394859"/>
    <w:rsid w:val="00395448"/>
    <w:rsid w:val="00396377"/>
    <w:rsid w:val="00397D28"/>
    <w:rsid w:val="003A2BFE"/>
    <w:rsid w:val="003A6CC2"/>
    <w:rsid w:val="003A7359"/>
    <w:rsid w:val="003A7745"/>
    <w:rsid w:val="003B2A5B"/>
    <w:rsid w:val="003B2BBB"/>
    <w:rsid w:val="003B51C1"/>
    <w:rsid w:val="003B781D"/>
    <w:rsid w:val="003B7E34"/>
    <w:rsid w:val="003C09F0"/>
    <w:rsid w:val="003C1EDF"/>
    <w:rsid w:val="003C520E"/>
    <w:rsid w:val="003C61DE"/>
    <w:rsid w:val="003C7721"/>
    <w:rsid w:val="003D0A19"/>
    <w:rsid w:val="003D273C"/>
    <w:rsid w:val="003D2F6A"/>
    <w:rsid w:val="003D3719"/>
    <w:rsid w:val="003D4146"/>
    <w:rsid w:val="003D4276"/>
    <w:rsid w:val="003E02A2"/>
    <w:rsid w:val="003E2BEF"/>
    <w:rsid w:val="003E2D5C"/>
    <w:rsid w:val="003E2E99"/>
    <w:rsid w:val="003E33C1"/>
    <w:rsid w:val="003F4C04"/>
    <w:rsid w:val="003F4F0F"/>
    <w:rsid w:val="003F6647"/>
    <w:rsid w:val="004004A0"/>
    <w:rsid w:val="00400EE4"/>
    <w:rsid w:val="00403470"/>
    <w:rsid w:val="0040566D"/>
    <w:rsid w:val="00406A8C"/>
    <w:rsid w:val="00411A98"/>
    <w:rsid w:val="00415122"/>
    <w:rsid w:val="00416976"/>
    <w:rsid w:val="00420D18"/>
    <w:rsid w:val="004217D3"/>
    <w:rsid w:val="00421810"/>
    <w:rsid w:val="004228A3"/>
    <w:rsid w:val="00422A2E"/>
    <w:rsid w:val="00422F58"/>
    <w:rsid w:val="00423D65"/>
    <w:rsid w:val="0042459E"/>
    <w:rsid w:val="004254A5"/>
    <w:rsid w:val="00425B26"/>
    <w:rsid w:val="00426B8E"/>
    <w:rsid w:val="004270B2"/>
    <w:rsid w:val="00427A3F"/>
    <w:rsid w:val="0043110D"/>
    <w:rsid w:val="00433F81"/>
    <w:rsid w:val="00434335"/>
    <w:rsid w:val="00442C3E"/>
    <w:rsid w:val="004431E7"/>
    <w:rsid w:val="004438EA"/>
    <w:rsid w:val="00445AB1"/>
    <w:rsid w:val="004460AA"/>
    <w:rsid w:val="0045170E"/>
    <w:rsid w:val="004523D7"/>
    <w:rsid w:val="00452F4F"/>
    <w:rsid w:val="00453106"/>
    <w:rsid w:val="004556F7"/>
    <w:rsid w:val="00455F93"/>
    <w:rsid w:val="0045683B"/>
    <w:rsid w:val="00456B46"/>
    <w:rsid w:val="00456CF5"/>
    <w:rsid w:val="004577CA"/>
    <w:rsid w:val="0045793B"/>
    <w:rsid w:val="00457C07"/>
    <w:rsid w:val="004624F4"/>
    <w:rsid w:val="00464C0E"/>
    <w:rsid w:val="00466111"/>
    <w:rsid w:val="004671D5"/>
    <w:rsid w:val="00472EA1"/>
    <w:rsid w:val="0047324E"/>
    <w:rsid w:val="0047643C"/>
    <w:rsid w:val="004764B7"/>
    <w:rsid w:val="0047658F"/>
    <w:rsid w:val="00476622"/>
    <w:rsid w:val="00476D76"/>
    <w:rsid w:val="004772C2"/>
    <w:rsid w:val="004779CB"/>
    <w:rsid w:val="00477D38"/>
    <w:rsid w:val="00481B53"/>
    <w:rsid w:val="00484509"/>
    <w:rsid w:val="004849A6"/>
    <w:rsid w:val="00484A78"/>
    <w:rsid w:val="00492955"/>
    <w:rsid w:val="0049747F"/>
    <w:rsid w:val="004A07F8"/>
    <w:rsid w:val="004A0DBF"/>
    <w:rsid w:val="004A11C9"/>
    <w:rsid w:val="004A5830"/>
    <w:rsid w:val="004A67F8"/>
    <w:rsid w:val="004B10CE"/>
    <w:rsid w:val="004B22D0"/>
    <w:rsid w:val="004B23B8"/>
    <w:rsid w:val="004B37D3"/>
    <w:rsid w:val="004B40C5"/>
    <w:rsid w:val="004B432E"/>
    <w:rsid w:val="004B6705"/>
    <w:rsid w:val="004B6A1D"/>
    <w:rsid w:val="004C0467"/>
    <w:rsid w:val="004C3957"/>
    <w:rsid w:val="004C4395"/>
    <w:rsid w:val="004C6D4D"/>
    <w:rsid w:val="004D01F0"/>
    <w:rsid w:val="004D1C33"/>
    <w:rsid w:val="004D1CA6"/>
    <w:rsid w:val="004D2725"/>
    <w:rsid w:val="004D2948"/>
    <w:rsid w:val="004D4B80"/>
    <w:rsid w:val="004E1EB5"/>
    <w:rsid w:val="004E1EBF"/>
    <w:rsid w:val="004E2705"/>
    <w:rsid w:val="004E3C98"/>
    <w:rsid w:val="004E4A18"/>
    <w:rsid w:val="004E6AF1"/>
    <w:rsid w:val="004E7B01"/>
    <w:rsid w:val="004F05C7"/>
    <w:rsid w:val="004F0D5B"/>
    <w:rsid w:val="004F1BFE"/>
    <w:rsid w:val="004F3E23"/>
    <w:rsid w:val="004F419A"/>
    <w:rsid w:val="004F60ED"/>
    <w:rsid w:val="004F68F6"/>
    <w:rsid w:val="0050263D"/>
    <w:rsid w:val="0050285D"/>
    <w:rsid w:val="005044C8"/>
    <w:rsid w:val="00505648"/>
    <w:rsid w:val="00505A25"/>
    <w:rsid w:val="00507EF6"/>
    <w:rsid w:val="00510D69"/>
    <w:rsid w:val="00510EA5"/>
    <w:rsid w:val="00511295"/>
    <w:rsid w:val="00512B9A"/>
    <w:rsid w:val="005148F4"/>
    <w:rsid w:val="0051658E"/>
    <w:rsid w:val="005166D4"/>
    <w:rsid w:val="00516F37"/>
    <w:rsid w:val="00516FDB"/>
    <w:rsid w:val="00517C7A"/>
    <w:rsid w:val="00520709"/>
    <w:rsid w:val="005212B8"/>
    <w:rsid w:val="00523B23"/>
    <w:rsid w:val="00527292"/>
    <w:rsid w:val="00532AEB"/>
    <w:rsid w:val="005347FA"/>
    <w:rsid w:val="00534B50"/>
    <w:rsid w:val="00536834"/>
    <w:rsid w:val="00537A1E"/>
    <w:rsid w:val="00537FE6"/>
    <w:rsid w:val="00542EAE"/>
    <w:rsid w:val="0054493F"/>
    <w:rsid w:val="00545A5E"/>
    <w:rsid w:val="00546C09"/>
    <w:rsid w:val="005501FD"/>
    <w:rsid w:val="00550C4D"/>
    <w:rsid w:val="005519F7"/>
    <w:rsid w:val="00553D7C"/>
    <w:rsid w:val="00554EAC"/>
    <w:rsid w:val="00555191"/>
    <w:rsid w:val="00556E21"/>
    <w:rsid w:val="00560171"/>
    <w:rsid w:val="0056073D"/>
    <w:rsid w:val="00561802"/>
    <w:rsid w:val="00561AFC"/>
    <w:rsid w:val="00561C32"/>
    <w:rsid w:val="00563CB3"/>
    <w:rsid w:val="00563EC4"/>
    <w:rsid w:val="00567CC3"/>
    <w:rsid w:val="005711AA"/>
    <w:rsid w:val="00572FE6"/>
    <w:rsid w:val="005746CC"/>
    <w:rsid w:val="00574DCA"/>
    <w:rsid w:val="00576785"/>
    <w:rsid w:val="005767CE"/>
    <w:rsid w:val="00576978"/>
    <w:rsid w:val="00576D14"/>
    <w:rsid w:val="00577EDA"/>
    <w:rsid w:val="005810FB"/>
    <w:rsid w:val="00581B75"/>
    <w:rsid w:val="00587CA4"/>
    <w:rsid w:val="00590BD5"/>
    <w:rsid w:val="005951D5"/>
    <w:rsid w:val="005957CE"/>
    <w:rsid w:val="00596595"/>
    <w:rsid w:val="0059659A"/>
    <w:rsid w:val="005A0CBD"/>
    <w:rsid w:val="005A2692"/>
    <w:rsid w:val="005A2D29"/>
    <w:rsid w:val="005A319D"/>
    <w:rsid w:val="005A492C"/>
    <w:rsid w:val="005A4BB5"/>
    <w:rsid w:val="005A4F5B"/>
    <w:rsid w:val="005A60F1"/>
    <w:rsid w:val="005A66BD"/>
    <w:rsid w:val="005B376F"/>
    <w:rsid w:val="005B39D4"/>
    <w:rsid w:val="005B41FE"/>
    <w:rsid w:val="005B4C98"/>
    <w:rsid w:val="005B51EE"/>
    <w:rsid w:val="005B682B"/>
    <w:rsid w:val="005C0033"/>
    <w:rsid w:val="005C1F9D"/>
    <w:rsid w:val="005C3C45"/>
    <w:rsid w:val="005C4297"/>
    <w:rsid w:val="005C4A80"/>
    <w:rsid w:val="005C50C8"/>
    <w:rsid w:val="005C6C86"/>
    <w:rsid w:val="005C6D21"/>
    <w:rsid w:val="005D000F"/>
    <w:rsid w:val="005D2BFD"/>
    <w:rsid w:val="005D4B97"/>
    <w:rsid w:val="005D588D"/>
    <w:rsid w:val="005D594C"/>
    <w:rsid w:val="005D7D33"/>
    <w:rsid w:val="005D7DF6"/>
    <w:rsid w:val="005E2562"/>
    <w:rsid w:val="005E25DC"/>
    <w:rsid w:val="005E49B7"/>
    <w:rsid w:val="005F068E"/>
    <w:rsid w:val="005F06A5"/>
    <w:rsid w:val="005F17EB"/>
    <w:rsid w:val="005F1A72"/>
    <w:rsid w:val="005F259E"/>
    <w:rsid w:val="005F4B84"/>
    <w:rsid w:val="005F6778"/>
    <w:rsid w:val="005F6B16"/>
    <w:rsid w:val="005F74A5"/>
    <w:rsid w:val="005F756F"/>
    <w:rsid w:val="00601B86"/>
    <w:rsid w:val="006038B6"/>
    <w:rsid w:val="00604126"/>
    <w:rsid w:val="006046DD"/>
    <w:rsid w:val="00604A1F"/>
    <w:rsid w:val="00604EEB"/>
    <w:rsid w:val="006109AE"/>
    <w:rsid w:val="00612835"/>
    <w:rsid w:val="00613DBC"/>
    <w:rsid w:val="00615CBD"/>
    <w:rsid w:val="00616BC1"/>
    <w:rsid w:val="00621BB4"/>
    <w:rsid w:val="006224F5"/>
    <w:rsid w:val="006229F4"/>
    <w:rsid w:val="00624171"/>
    <w:rsid w:val="006243B7"/>
    <w:rsid w:val="006311E7"/>
    <w:rsid w:val="006322C4"/>
    <w:rsid w:val="006332D4"/>
    <w:rsid w:val="00633568"/>
    <w:rsid w:val="006335BE"/>
    <w:rsid w:val="006365DC"/>
    <w:rsid w:val="00636F51"/>
    <w:rsid w:val="00640C48"/>
    <w:rsid w:val="0064277E"/>
    <w:rsid w:val="00643FC6"/>
    <w:rsid w:val="00644738"/>
    <w:rsid w:val="00645E73"/>
    <w:rsid w:val="00647340"/>
    <w:rsid w:val="00647C7C"/>
    <w:rsid w:val="00650EEC"/>
    <w:rsid w:val="00652852"/>
    <w:rsid w:val="00653B8E"/>
    <w:rsid w:val="00660C62"/>
    <w:rsid w:val="006615B5"/>
    <w:rsid w:val="006628C3"/>
    <w:rsid w:val="006644D1"/>
    <w:rsid w:val="00664A5C"/>
    <w:rsid w:val="00670548"/>
    <w:rsid w:val="006719DC"/>
    <w:rsid w:val="00673F22"/>
    <w:rsid w:val="00675B15"/>
    <w:rsid w:val="006776A4"/>
    <w:rsid w:val="006800F6"/>
    <w:rsid w:val="00682EE1"/>
    <w:rsid w:val="00683A31"/>
    <w:rsid w:val="00683F3A"/>
    <w:rsid w:val="00685E07"/>
    <w:rsid w:val="006864B9"/>
    <w:rsid w:val="00687245"/>
    <w:rsid w:val="00687E6F"/>
    <w:rsid w:val="00691ADA"/>
    <w:rsid w:val="00692143"/>
    <w:rsid w:val="00693CB5"/>
    <w:rsid w:val="0069479F"/>
    <w:rsid w:val="00695007"/>
    <w:rsid w:val="0069543C"/>
    <w:rsid w:val="00696E22"/>
    <w:rsid w:val="006A1B5D"/>
    <w:rsid w:val="006A1FF6"/>
    <w:rsid w:val="006A271D"/>
    <w:rsid w:val="006A6086"/>
    <w:rsid w:val="006A60B1"/>
    <w:rsid w:val="006A79C0"/>
    <w:rsid w:val="006B1135"/>
    <w:rsid w:val="006B1571"/>
    <w:rsid w:val="006B1B7E"/>
    <w:rsid w:val="006B2339"/>
    <w:rsid w:val="006B256A"/>
    <w:rsid w:val="006B2AA7"/>
    <w:rsid w:val="006B30B8"/>
    <w:rsid w:val="006B32DF"/>
    <w:rsid w:val="006B3A4B"/>
    <w:rsid w:val="006B403E"/>
    <w:rsid w:val="006B4C00"/>
    <w:rsid w:val="006B6853"/>
    <w:rsid w:val="006C0C30"/>
    <w:rsid w:val="006C1045"/>
    <w:rsid w:val="006C44E9"/>
    <w:rsid w:val="006C472F"/>
    <w:rsid w:val="006C67C0"/>
    <w:rsid w:val="006C6E46"/>
    <w:rsid w:val="006C6FFD"/>
    <w:rsid w:val="006D0171"/>
    <w:rsid w:val="006D1A2D"/>
    <w:rsid w:val="006D1D0C"/>
    <w:rsid w:val="006D3B30"/>
    <w:rsid w:val="006D568D"/>
    <w:rsid w:val="006D6033"/>
    <w:rsid w:val="006D7EE0"/>
    <w:rsid w:val="006E041C"/>
    <w:rsid w:val="006E3828"/>
    <w:rsid w:val="006E458D"/>
    <w:rsid w:val="006E5362"/>
    <w:rsid w:val="006E6060"/>
    <w:rsid w:val="006E6FE5"/>
    <w:rsid w:val="006E72CE"/>
    <w:rsid w:val="006F07E5"/>
    <w:rsid w:val="006F1251"/>
    <w:rsid w:val="006F38D9"/>
    <w:rsid w:val="006F5F7B"/>
    <w:rsid w:val="006F6C4E"/>
    <w:rsid w:val="00701D8E"/>
    <w:rsid w:val="00704711"/>
    <w:rsid w:val="00704C77"/>
    <w:rsid w:val="00707637"/>
    <w:rsid w:val="00707ACA"/>
    <w:rsid w:val="0071036A"/>
    <w:rsid w:val="0071176E"/>
    <w:rsid w:val="00716BCF"/>
    <w:rsid w:val="00716D73"/>
    <w:rsid w:val="00717546"/>
    <w:rsid w:val="007221C9"/>
    <w:rsid w:val="00724A09"/>
    <w:rsid w:val="0072577C"/>
    <w:rsid w:val="007266DD"/>
    <w:rsid w:val="00726AA2"/>
    <w:rsid w:val="00727307"/>
    <w:rsid w:val="00727BD7"/>
    <w:rsid w:val="00730AE2"/>
    <w:rsid w:val="0073230F"/>
    <w:rsid w:val="0073382E"/>
    <w:rsid w:val="00733A7F"/>
    <w:rsid w:val="00733C4B"/>
    <w:rsid w:val="00734627"/>
    <w:rsid w:val="007348F7"/>
    <w:rsid w:val="00736774"/>
    <w:rsid w:val="00736C9F"/>
    <w:rsid w:val="00736E4F"/>
    <w:rsid w:val="00737D03"/>
    <w:rsid w:val="007421E9"/>
    <w:rsid w:val="00744205"/>
    <w:rsid w:val="00744FCB"/>
    <w:rsid w:val="00745F85"/>
    <w:rsid w:val="007510BD"/>
    <w:rsid w:val="0075214A"/>
    <w:rsid w:val="00753EFD"/>
    <w:rsid w:val="007541FB"/>
    <w:rsid w:val="007560AE"/>
    <w:rsid w:val="007568A6"/>
    <w:rsid w:val="007579BE"/>
    <w:rsid w:val="007605FC"/>
    <w:rsid w:val="007633B1"/>
    <w:rsid w:val="00763CCA"/>
    <w:rsid w:val="00764C8E"/>
    <w:rsid w:val="00764E29"/>
    <w:rsid w:val="007653D1"/>
    <w:rsid w:val="00765B86"/>
    <w:rsid w:val="00765EB2"/>
    <w:rsid w:val="00766D55"/>
    <w:rsid w:val="00766F3C"/>
    <w:rsid w:val="0077059F"/>
    <w:rsid w:val="007710B4"/>
    <w:rsid w:val="00775E5B"/>
    <w:rsid w:val="00783E63"/>
    <w:rsid w:val="007851FC"/>
    <w:rsid w:val="007863E1"/>
    <w:rsid w:val="0078676F"/>
    <w:rsid w:val="00786D5A"/>
    <w:rsid w:val="00786EDF"/>
    <w:rsid w:val="007870D3"/>
    <w:rsid w:val="00787196"/>
    <w:rsid w:val="00787906"/>
    <w:rsid w:val="00787962"/>
    <w:rsid w:val="00787B47"/>
    <w:rsid w:val="00787CDC"/>
    <w:rsid w:val="007914C2"/>
    <w:rsid w:val="00792104"/>
    <w:rsid w:val="00793B61"/>
    <w:rsid w:val="0079430A"/>
    <w:rsid w:val="00795149"/>
    <w:rsid w:val="00796606"/>
    <w:rsid w:val="007A0F2E"/>
    <w:rsid w:val="007A1582"/>
    <w:rsid w:val="007A2C34"/>
    <w:rsid w:val="007A3034"/>
    <w:rsid w:val="007A6ED0"/>
    <w:rsid w:val="007B18E0"/>
    <w:rsid w:val="007B1C77"/>
    <w:rsid w:val="007B48A2"/>
    <w:rsid w:val="007B4FA7"/>
    <w:rsid w:val="007B5CD5"/>
    <w:rsid w:val="007B7437"/>
    <w:rsid w:val="007C0127"/>
    <w:rsid w:val="007C502B"/>
    <w:rsid w:val="007C79AE"/>
    <w:rsid w:val="007D1FC3"/>
    <w:rsid w:val="007D2359"/>
    <w:rsid w:val="007D2C14"/>
    <w:rsid w:val="007D4DAD"/>
    <w:rsid w:val="007D5E52"/>
    <w:rsid w:val="007D7355"/>
    <w:rsid w:val="007E0A20"/>
    <w:rsid w:val="007E0F4F"/>
    <w:rsid w:val="007E1CC5"/>
    <w:rsid w:val="007E204D"/>
    <w:rsid w:val="007E254D"/>
    <w:rsid w:val="007E2A81"/>
    <w:rsid w:val="007E2FAF"/>
    <w:rsid w:val="007E3858"/>
    <w:rsid w:val="007E4560"/>
    <w:rsid w:val="007E56EC"/>
    <w:rsid w:val="007E5EB2"/>
    <w:rsid w:val="007E6CD6"/>
    <w:rsid w:val="007E7A4F"/>
    <w:rsid w:val="007F0E64"/>
    <w:rsid w:val="007F15D1"/>
    <w:rsid w:val="007F4A7A"/>
    <w:rsid w:val="00800655"/>
    <w:rsid w:val="00801BC4"/>
    <w:rsid w:val="00801F00"/>
    <w:rsid w:val="0080544E"/>
    <w:rsid w:val="00806095"/>
    <w:rsid w:val="00806583"/>
    <w:rsid w:val="00811969"/>
    <w:rsid w:val="00812437"/>
    <w:rsid w:val="00812999"/>
    <w:rsid w:val="008144C2"/>
    <w:rsid w:val="00815A65"/>
    <w:rsid w:val="00815D2D"/>
    <w:rsid w:val="00817A93"/>
    <w:rsid w:val="0082089A"/>
    <w:rsid w:val="00820C2C"/>
    <w:rsid w:val="00820CD7"/>
    <w:rsid w:val="00820DAC"/>
    <w:rsid w:val="00822AEF"/>
    <w:rsid w:val="00824BE0"/>
    <w:rsid w:val="008253EE"/>
    <w:rsid w:val="00826EE4"/>
    <w:rsid w:val="00826F99"/>
    <w:rsid w:val="00827904"/>
    <w:rsid w:val="00827A07"/>
    <w:rsid w:val="00827D99"/>
    <w:rsid w:val="008322A4"/>
    <w:rsid w:val="00833F3B"/>
    <w:rsid w:val="0083522A"/>
    <w:rsid w:val="00836F3A"/>
    <w:rsid w:val="00837232"/>
    <w:rsid w:val="00840A45"/>
    <w:rsid w:val="0084429A"/>
    <w:rsid w:val="00845817"/>
    <w:rsid w:val="00851E7A"/>
    <w:rsid w:val="00852193"/>
    <w:rsid w:val="00854343"/>
    <w:rsid w:val="00854B1E"/>
    <w:rsid w:val="00857EFA"/>
    <w:rsid w:val="0086382E"/>
    <w:rsid w:val="00863B4F"/>
    <w:rsid w:val="00863C79"/>
    <w:rsid w:val="00863D32"/>
    <w:rsid w:val="00863FD6"/>
    <w:rsid w:val="00866C10"/>
    <w:rsid w:val="00873E3D"/>
    <w:rsid w:val="00875904"/>
    <w:rsid w:val="00875F83"/>
    <w:rsid w:val="008762AB"/>
    <w:rsid w:val="0088351B"/>
    <w:rsid w:val="00883867"/>
    <w:rsid w:val="00883F89"/>
    <w:rsid w:val="008846BD"/>
    <w:rsid w:val="00885C0C"/>
    <w:rsid w:val="008868AA"/>
    <w:rsid w:val="00886B46"/>
    <w:rsid w:val="00886D75"/>
    <w:rsid w:val="00887B60"/>
    <w:rsid w:val="00887B93"/>
    <w:rsid w:val="00890E05"/>
    <w:rsid w:val="0089119D"/>
    <w:rsid w:val="00892FB0"/>
    <w:rsid w:val="00894941"/>
    <w:rsid w:val="0089645A"/>
    <w:rsid w:val="00897A6C"/>
    <w:rsid w:val="008A1E2A"/>
    <w:rsid w:val="008A3EE4"/>
    <w:rsid w:val="008A402E"/>
    <w:rsid w:val="008A5C52"/>
    <w:rsid w:val="008A6509"/>
    <w:rsid w:val="008B1338"/>
    <w:rsid w:val="008B1766"/>
    <w:rsid w:val="008B26A7"/>
    <w:rsid w:val="008B3981"/>
    <w:rsid w:val="008B435F"/>
    <w:rsid w:val="008B498E"/>
    <w:rsid w:val="008B5495"/>
    <w:rsid w:val="008B5633"/>
    <w:rsid w:val="008B6C11"/>
    <w:rsid w:val="008C17BA"/>
    <w:rsid w:val="008C4A0D"/>
    <w:rsid w:val="008C5E6D"/>
    <w:rsid w:val="008C60DA"/>
    <w:rsid w:val="008D3053"/>
    <w:rsid w:val="008D4A6C"/>
    <w:rsid w:val="008D5EEE"/>
    <w:rsid w:val="008D6CB1"/>
    <w:rsid w:val="008D720D"/>
    <w:rsid w:val="008E2116"/>
    <w:rsid w:val="008E266E"/>
    <w:rsid w:val="008E501A"/>
    <w:rsid w:val="008E58AF"/>
    <w:rsid w:val="008E612E"/>
    <w:rsid w:val="008E616D"/>
    <w:rsid w:val="008E6480"/>
    <w:rsid w:val="008E7068"/>
    <w:rsid w:val="008F1666"/>
    <w:rsid w:val="008F226C"/>
    <w:rsid w:val="008F2FB0"/>
    <w:rsid w:val="008F3E61"/>
    <w:rsid w:val="008F4CB9"/>
    <w:rsid w:val="008F71E3"/>
    <w:rsid w:val="00902401"/>
    <w:rsid w:val="00903561"/>
    <w:rsid w:val="009048E9"/>
    <w:rsid w:val="0090685D"/>
    <w:rsid w:val="00907BB5"/>
    <w:rsid w:val="0091137C"/>
    <w:rsid w:val="00915AA0"/>
    <w:rsid w:val="00916A71"/>
    <w:rsid w:val="00916CEF"/>
    <w:rsid w:val="00920181"/>
    <w:rsid w:val="00921426"/>
    <w:rsid w:val="0092321D"/>
    <w:rsid w:val="0092514B"/>
    <w:rsid w:val="0092640A"/>
    <w:rsid w:val="009266FF"/>
    <w:rsid w:val="00927E43"/>
    <w:rsid w:val="0093066F"/>
    <w:rsid w:val="0093132B"/>
    <w:rsid w:val="009314BE"/>
    <w:rsid w:val="009326F0"/>
    <w:rsid w:val="00933623"/>
    <w:rsid w:val="009346A2"/>
    <w:rsid w:val="00935E14"/>
    <w:rsid w:val="00936FBA"/>
    <w:rsid w:val="00941288"/>
    <w:rsid w:val="0094407C"/>
    <w:rsid w:val="009452D0"/>
    <w:rsid w:val="009469BC"/>
    <w:rsid w:val="0095344C"/>
    <w:rsid w:val="0095367A"/>
    <w:rsid w:val="00953DDD"/>
    <w:rsid w:val="00956930"/>
    <w:rsid w:val="00956C9B"/>
    <w:rsid w:val="009604B3"/>
    <w:rsid w:val="00961AA1"/>
    <w:rsid w:val="009641C2"/>
    <w:rsid w:val="00966CBB"/>
    <w:rsid w:val="009715DD"/>
    <w:rsid w:val="009716B1"/>
    <w:rsid w:val="009724F0"/>
    <w:rsid w:val="009729A4"/>
    <w:rsid w:val="00975BCA"/>
    <w:rsid w:val="00985F28"/>
    <w:rsid w:val="0098651D"/>
    <w:rsid w:val="009927B8"/>
    <w:rsid w:val="00993230"/>
    <w:rsid w:val="00993C87"/>
    <w:rsid w:val="00995DFF"/>
    <w:rsid w:val="00996169"/>
    <w:rsid w:val="009A0584"/>
    <w:rsid w:val="009A0B1E"/>
    <w:rsid w:val="009A2DC3"/>
    <w:rsid w:val="009A41C7"/>
    <w:rsid w:val="009A4300"/>
    <w:rsid w:val="009A4819"/>
    <w:rsid w:val="009A5F7F"/>
    <w:rsid w:val="009A7151"/>
    <w:rsid w:val="009A785F"/>
    <w:rsid w:val="009B044E"/>
    <w:rsid w:val="009B2549"/>
    <w:rsid w:val="009B6228"/>
    <w:rsid w:val="009B792D"/>
    <w:rsid w:val="009C0A0A"/>
    <w:rsid w:val="009C21CB"/>
    <w:rsid w:val="009D0ADE"/>
    <w:rsid w:val="009D14D1"/>
    <w:rsid w:val="009D2108"/>
    <w:rsid w:val="009D2234"/>
    <w:rsid w:val="009D41E6"/>
    <w:rsid w:val="009D4E03"/>
    <w:rsid w:val="009D6B4F"/>
    <w:rsid w:val="009D6DA2"/>
    <w:rsid w:val="009D6E33"/>
    <w:rsid w:val="009E198E"/>
    <w:rsid w:val="009E1BD2"/>
    <w:rsid w:val="009E6C50"/>
    <w:rsid w:val="009E7889"/>
    <w:rsid w:val="009E7F8C"/>
    <w:rsid w:val="009E7FE8"/>
    <w:rsid w:val="009F0294"/>
    <w:rsid w:val="009F0A1E"/>
    <w:rsid w:val="009F1FE9"/>
    <w:rsid w:val="009F39A5"/>
    <w:rsid w:val="009F554A"/>
    <w:rsid w:val="009F6272"/>
    <w:rsid w:val="009F706F"/>
    <w:rsid w:val="00A002E8"/>
    <w:rsid w:val="00A009B1"/>
    <w:rsid w:val="00A00A49"/>
    <w:rsid w:val="00A00ACC"/>
    <w:rsid w:val="00A019D5"/>
    <w:rsid w:val="00A0702F"/>
    <w:rsid w:val="00A154FC"/>
    <w:rsid w:val="00A1594A"/>
    <w:rsid w:val="00A15BF0"/>
    <w:rsid w:val="00A21A62"/>
    <w:rsid w:val="00A22D57"/>
    <w:rsid w:val="00A26204"/>
    <w:rsid w:val="00A31D71"/>
    <w:rsid w:val="00A334F0"/>
    <w:rsid w:val="00A3454E"/>
    <w:rsid w:val="00A34842"/>
    <w:rsid w:val="00A40630"/>
    <w:rsid w:val="00A438B3"/>
    <w:rsid w:val="00A45253"/>
    <w:rsid w:val="00A5140C"/>
    <w:rsid w:val="00A52B32"/>
    <w:rsid w:val="00A52CBD"/>
    <w:rsid w:val="00A5324C"/>
    <w:rsid w:val="00A5592E"/>
    <w:rsid w:val="00A5630A"/>
    <w:rsid w:val="00A568C2"/>
    <w:rsid w:val="00A57CBD"/>
    <w:rsid w:val="00A57D00"/>
    <w:rsid w:val="00A57FB0"/>
    <w:rsid w:val="00A60389"/>
    <w:rsid w:val="00A621AD"/>
    <w:rsid w:val="00A6239A"/>
    <w:rsid w:val="00A65090"/>
    <w:rsid w:val="00A703DE"/>
    <w:rsid w:val="00A7140F"/>
    <w:rsid w:val="00A720C3"/>
    <w:rsid w:val="00A72577"/>
    <w:rsid w:val="00A725D5"/>
    <w:rsid w:val="00A72BE9"/>
    <w:rsid w:val="00A73B6A"/>
    <w:rsid w:val="00A74166"/>
    <w:rsid w:val="00A77812"/>
    <w:rsid w:val="00A808E9"/>
    <w:rsid w:val="00A82682"/>
    <w:rsid w:val="00A8636F"/>
    <w:rsid w:val="00A90F83"/>
    <w:rsid w:val="00A91683"/>
    <w:rsid w:val="00A92B6C"/>
    <w:rsid w:val="00A939A4"/>
    <w:rsid w:val="00A95232"/>
    <w:rsid w:val="00A95D78"/>
    <w:rsid w:val="00AA22A3"/>
    <w:rsid w:val="00AA363A"/>
    <w:rsid w:val="00AA3B61"/>
    <w:rsid w:val="00AA48AF"/>
    <w:rsid w:val="00AA7899"/>
    <w:rsid w:val="00AA7CB8"/>
    <w:rsid w:val="00AB21CE"/>
    <w:rsid w:val="00AB4966"/>
    <w:rsid w:val="00AB6646"/>
    <w:rsid w:val="00AB7CCE"/>
    <w:rsid w:val="00AB7E6E"/>
    <w:rsid w:val="00AC0C01"/>
    <w:rsid w:val="00AC1998"/>
    <w:rsid w:val="00AC1E11"/>
    <w:rsid w:val="00AD084A"/>
    <w:rsid w:val="00AD0E29"/>
    <w:rsid w:val="00AD40F1"/>
    <w:rsid w:val="00AD4648"/>
    <w:rsid w:val="00AD47D7"/>
    <w:rsid w:val="00AD6A42"/>
    <w:rsid w:val="00AE0EE9"/>
    <w:rsid w:val="00AE17A0"/>
    <w:rsid w:val="00AE3610"/>
    <w:rsid w:val="00AE40D1"/>
    <w:rsid w:val="00AE621E"/>
    <w:rsid w:val="00AE67E3"/>
    <w:rsid w:val="00AE7FBF"/>
    <w:rsid w:val="00AF089C"/>
    <w:rsid w:val="00AF2674"/>
    <w:rsid w:val="00AF34D7"/>
    <w:rsid w:val="00AF4092"/>
    <w:rsid w:val="00AF4155"/>
    <w:rsid w:val="00AF47F3"/>
    <w:rsid w:val="00AF6830"/>
    <w:rsid w:val="00AF79F6"/>
    <w:rsid w:val="00B00438"/>
    <w:rsid w:val="00B0277B"/>
    <w:rsid w:val="00B02E37"/>
    <w:rsid w:val="00B04138"/>
    <w:rsid w:val="00B0477A"/>
    <w:rsid w:val="00B050C0"/>
    <w:rsid w:val="00B06368"/>
    <w:rsid w:val="00B11809"/>
    <w:rsid w:val="00B11F4F"/>
    <w:rsid w:val="00B133A3"/>
    <w:rsid w:val="00B13A24"/>
    <w:rsid w:val="00B13C1A"/>
    <w:rsid w:val="00B13EDD"/>
    <w:rsid w:val="00B14639"/>
    <w:rsid w:val="00B14CC2"/>
    <w:rsid w:val="00B15A43"/>
    <w:rsid w:val="00B15C96"/>
    <w:rsid w:val="00B15E83"/>
    <w:rsid w:val="00B17A01"/>
    <w:rsid w:val="00B207FB"/>
    <w:rsid w:val="00B208C6"/>
    <w:rsid w:val="00B22981"/>
    <w:rsid w:val="00B23468"/>
    <w:rsid w:val="00B24CD5"/>
    <w:rsid w:val="00B2536C"/>
    <w:rsid w:val="00B259B4"/>
    <w:rsid w:val="00B275A6"/>
    <w:rsid w:val="00B34117"/>
    <w:rsid w:val="00B36A90"/>
    <w:rsid w:val="00B36D6D"/>
    <w:rsid w:val="00B378A4"/>
    <w:rsid w:val="00B4022B"/>
    <w:rsid w:val="00B4118F"/>
    <w:rsid w:val="00B422DB"/>
    <w:rsid w:val="00B43148"/>
    <w:rsid w:val="00B45825"/>
    <w:rsid w:val="00B46228"/>
    <w:rsid w:val="00B46471"/>
    <w:rsid w:val="00B47294"/>
    <w:rsid w:val="00B47FAA"/>
    <w:rsid w:val="00B50249"/>
    <w:rsid w:val="00B504F5"/>
    <w:rsid w:val="00B52619"/>
    <w:rsid w:val="00B5261D"/>
    <w:rsid w:val="00B53DBC"/>
    <w:rsid w:val="00B54CCD"/>
    <w:rsid w:val="00B552B2"/>
    <w:rsid w:val="00B558D2"/>
    <w:rsid w:val="00B60BDE"/>
    <w:rsid w:val="00B61083"/>
    <w:rsid w:val="00B61CB7"/>
    <w:rsid w:val="00B629E9"/>
    <w:rsid w:val="00B6492B"/>
    <w:rsid w:val="00B64A47"/>
    <w:rsid w:val="00B653BC"/>
    <w:rsid w:val="00B6619C"/>
    <w:rsid w:val="00B662F8"/>
    <w:rsid w:val="00B701D6"/>
    <w:rsid w:val="00B728BF"/>
    <w:rsid w:val="00B72B48"/>
    <w:rsid w:val="00B730D6"/>
    <w:rsid w:val="00B8047C"/>
    <w:rsid w:val="00B80786"/>
    <w:rsid w:val="00B82310"/>
    <w:rsid w:val="00B83B57"/>
    <w:rsid w:val="00B846C5"/>
    <w:rsid w:val="00B8474E"/>
    <w:rsid w:val="00B84B60"/>
    <w:rsid w:val="00B86F9E"/>
    <w:rsid w:val="00B876AA"/>
    <w:rsid w:val="00B87F12"/>
    <w:rsid w:val="00B917EE"/>
    <w:rsid w:val="00B96097"/>
    <w:rsid w:val="00B965EF"/>
    <w:rsid w:val="00B97A51"/>
    <w:rsid w:val="00B97CC7"/>
    <w:rsid w:val="00B97D6D"/>
    <w:rsid w:val="00BA3A29"/>
    <w:rsid w:val="00BA3D57"/>
    <w:rsid w:val="00BA58DE"/>
    <w:rsid w:val="00BA6C11"/>
    <w:rsid w:val="00BB0406"/>
    <w:rsid w:val="00BB0DA2"/>
    <w:rsid w:val="00BB104B"/>
    <w:rsid w:val="00BB1B1E"/>
    <w:rsid w:val="00BB27C9"/>
    <w:rsid w:val="00BB44A2"/>
    <w:rsid w:val="00BB48A6"/>
    <w:rsid w:val="00BB5C0F"/>
    <w:rsid w:val="00BC00A3"/>
    <w:rsid w:val="00BC00F7"/>
    <w:rsid w:val="00BC45C7"/>
    <w:rsid w:val="00BD06F8"/>
    <w:rsid w:val="00BD1130"/>
    <w:rsid w:val="00BD231E"/>
    <w:rsid w:val="00BD2EE0"/>
    <w:rsid w:val="00BD4B96"/>
    <w:rsid w:val="00BD540E"/>
    <w:rsid w:val="00BD679D"/>
    <w:rsid w:val="00BD7E74"/>
    <w:rsid w:val="00BE2B19"/>
    <w:rsid w:val="00BE2DCD"/>
    <w:rsid w:val="00BE367D"/>
    <w:rsid w:val="00BE3E86"/>
    <w:rsid w:val="00BE40E8"/>
    <w:rsid w:val="00BE709E"/>
    <w:rsid w:val="00BF2FCE"/>
    <w:rsid w:val="00BF3152"/>
    <w:rsid w:val="00BF43C6"/>
    <w:rsid w:val="00BF44C8"/>
    <w:rsid w:val="00BF49C2"/>
    <w:rsid w:val="00BF5621"/>
    <w:rsid w:val="00BF63DB"/>
    <w:rsid w:val="00BF6EAB"/>
    <w:rsid w:val="00BF77B3"/>
    <w:rsid w:val="00C0274F"/>
    <w:rsid w:val="00C02D3C"/>
    <w:rsid w:val="00C033AF"/>
    <w:rsid w:val="00C03EE3"/>
    <w:rsid w:val="00C04B39"/>
    <w:rsid w:val="00C129BB"/>
    <w:rsid w:val="00C138E8"/>
    <w:rsid w:val="00C16C81"/>
    <w:rsid w:val="00C16F0A"/>
    <w:rsid w:val="00C16FC9"/>
    <w:rsid w:val="00C176B2"/>
    <w:rsid w:val="00C21404"/>
    <w:rsid w:val="00C23F40"/>
    <w:rsid w:val="00C266D3"/>
    <w:rsid w:val="00C2741A"/>
    <w:rsid w:val="00C27E23"/>
    <w:rsid w:val="00C311C3"/>
    <w:rsid w:val="00C31C96"/>
    <w:rsid w:val="00C33844"/>
    <w:rsid w:val="00C36091"/>
    <w:rsid w:val="00C37735"/>
    <w:rsid w:val="00C40705"/>
    <w:rsid w:val="00C40DC0"/>
    <w:rsid w:val="00C4452C"/>
    <w:rsid w:val="00C46533"/>
    <w:rsid w:val="00C469AA"/>
    <w:rsid w:val="00C47337"/>
    <w:rsid w:val="00C4746F"/>
    <w:rsid w:val="00C516DC"/>
    <w:rsid w:val="00C53CD7"/>
    <w:rsid w:val="00C55C14"/>
    <w:rsid w:val="00C60B60"/>
    <w:rsid w:val="00C6434B"/>
    <w:rsid w:val="00C64C02"/>
    <w:rsid w:val="00C64F6A"/>
    <w:rsid w:val="00C6500D"/>
    <w:rsid w:val="00C6644F"/>
    <w:rsid w:val="00C70AA5"/>
    <w:rsid w:val="00C7150F"/>
    <w:rsid w:val="00C7260A"/>
    <w:rsid w:val="00C728E8"/>
    <w:rsid w:val="00C72B69"/>
    <w:rsid w:val="00C7620F"/>
    <w:rsid w:val="00C778BD"/>
    <w:rsid w:val="00C80839"/>
    <w:rsid w:val="00C81385"/>
    <w:rsid w:val="00C8245E"/>
    <w:rsid w:val="00C84DFB"/>
    <w:rsid w:val="00C85B4F"/>
    <w:rsid w:val="00C903AB"/>
    <w:rsid w:val="00C9063E"/>
    <w:rsid w:val="00C91A2A"/>
    <w:rsid w:val="00C94417"/>
    <w:rsid w:val="00C95AB0"/>
    <w:rsid w:val="00C96225"/>
    <w:rsid w:val="00C976DD"/>
    <w:rsid w:val="00CA1FB3"/>
    <w:rsid w:val="00CA1FF0"/>
    <w:rsid w:val="00CA4892"/>
    <w:rsid w:val="00CA4DE1"/>
    <w:rsid w:val="00CA4E50"/>
    <w:rsid w:val="00CA5EE3"/>
    <w:rsid w:val="00CA67DC"/>
    <w:rsid w:val="00CA6CB6"/>
    <w:rsid w:val="00CB173B"/>
    <w:rsid w:val="00CB28C5"/>
    <w:rsid w:val="00CB5B5D"/>
    <w:rsid w:val="00CB7552"/>
    <w:rsid w:val="00CB7BF3"/>
    <w:rsid w:val="00CC08BC"/>
    <w:rsid w:val="00CC1023"/>
    <w:rsid w:val="00CC420D"/>
    <w:rsid w:val="00CC4E9B"/>
    <w:rsid w:val="00CC53C0"/>
    <w:rsid w:val="00CC6143"/>
    <w:rsid w:val="00CC673A"/>
    <w:rsid w:val="00CC78C5"/>
    <w:rsid w:val="00CD010E"/>
    <w:rsid w:val="00CD1754"/>
    <w:rsid w:val="00CD1A9D"/>
    <w:rsid w:val="00CD1B23"/>
    <w:rsid w:val="00CD4CA2"/>
    <w:rsid w:val="00CD508E"/>
    <w:rsid w:val="00CD598D"/>
    <w:rsid w:val="00CD721C"/>
    <w:rsid w:val="00CD77A9"/>
    <w:rsid w:val="00CD7D73"/>
    <w:rsid w:val="00CE1A16"/>
    <w:rsid w:val="00CE46BE"/>
    <w:rsid w:val="00CE5399"/>
    <w:rsid w:val="00CE55B7"/>
    <w:rsid w:val="00CE6D2F"/>
    <w:rsid w:val="00CE6E13"/>
    <w:rsid w:val="00CF036A"/>
    <w:rsid w:val="00CF11CA"/>
    <w:rsid w:val="00CF195C"/>
    <w:rsid w:val="00CF303E"/>
    <w:rsid w:val="00CF6237"/>
    <w:rsid w:val="00CF632C"/>
    <w:rsid w:val="00CF6F31"/>
    <w:rsid w:val="00CF7175"/>
    <w:rsid w:val="00D0333A"/>
    <w:rsid w:val="00D03631"/>
    <w:rsid w:val="00D04A92"/>
    <w:rsid w:val="00D05A9A"/>
    <w:rsid w:val="00D063BF"/>
    <w:rsid w:val="00D06CB1"/>
    <w:rsid w:val="00D10BF0"/>
    <w:rsid w:val="00D118E8"/>
    <w:rsid w:val="00D1191C"/>
    <w:rsid w:val="00D119F3"/>
    <w:rsid w:val="00D11C39"/>
    <w:rsid w:val="00D13249"/>
    <w:rsid w:val="00D1408B"/>
    <w:rsid w:val="00D1476F"/>
    <w:rsid w:val="00D1527D"/>
    <w:rsid w:val="00D157D3"/>
    <w:rsid w:val="00D165EB"/>
    <w:rsid w:val="00D1783D"/>
    <w:rsid w:val="00D21405"/>
    <w:rsid w:val="00D23F90"/>
    <w:rsid w:val="00D267C9"/>
    <w:rsid w:val="00D268B0"/>
    <w:rsid w:val="00D26F3C"/>
    <w:rsid w:val="00D31DE3"/>
    <w:rsid w:val="00D31E39"/>
    <w:rsid w:val="00D3671D"/>
    <w:rsid w:val="00D375A9"/>
    <w:rsid w:val="00D37C24"/>
    <w:rsid w:val="00D4018A"/>
    <w:rsid w:val="00D4063A"/>
    <w:rsid w:val="00D408B1"/>
    <w:rsid w:val="00D41FF6"/>
    <w:rsid w:val="00D43F08"/>
    <w:rsid w:val="00D45498"/>
    <w:rsid w:val="00D45FF5"/>
    <w:rsid w:val="00D4614B"/>
    <w:rsid w:val="00D46467"/>
    <w:rsid w:val="00D46AAB"/>
    <w:rsid w:val="00D4705A"/>
    <w:rsid w:val="00D50118"/>
    <w:rsid w:val="00D50FE3"/>
    <w:rsid w:val="00D518B9"/>
    <w:rsid w:val="00D51F55"/>
    <w:rsid w:val="00D52641"/>
    <w:rsid w:val="00D57625"/>
    <w:rsid w:val="00D6018A"/>
    <w:rsid w:val="00D60AC6"/>
    <w:rsid w:val="00D611BE"/>
    <w:rsid w:val="00D61575"/>
    <w:rsid w:val="00D62B40"/>
    <w:rsid w:val="00D6629D"/>
    <w:rsid w:val="00D66635"/>
    <w:rsid w:val="00D6772B"/>
    <w:rsid w:val="00D679FF"/>
    <w:rsid w:val="00D72FFD"/>
    <w:rsid w:val="00D76306"/>
    <w:rsid w:val="00D76AF6"/>
    <w:rsid w:val="00D777FD"/>
    <w:rsid w:val="00D77ADE"/>
    <w:rsid w:val="00D77B25"/>
    <w:rsid w:val="00D80C8D"/>
    <w:rsid w:val="00D835B9"/>
    <w:rsid w:val="00D85731"/>
    <w:rsid w:val="00D86DBE"/>
    <w:rsid w:val="00D87593"/>
    <w:rsid w:val="00D91B13"/>
    <w:rsid w:val="00D93308"/>
    <w:rsid w:val="00D9345A"/>
    <w:rsid w:val="00D93714"/>
    <w:rsid w:val="00D9384C"/>
    <w:rsid w:val="00D93AE5"/>
    <w:rsid w:val="00D94A11"/>
    <w:rsid w:val="00D96D16"/>
    <w:rsid w:val="00D96FD8"/>
    <w:rsid w:val="00DA0C62"/>
    <w:rsid w:val="00DA19D8"/>
    <w:rsid w:val="00DA2AAA"/>
    <w:rsid w:val="00DA2FCD"/>
    <w:rsid w:val="00DA420B"/>
    <w:rsid w:val="00DA5F31"/>
    <w:rsid w:val="00DA6618"/>
    <w:rsid w:val="00DA7A0C"/>
    <w:rsid w:val="00DB35E7"/>
    <w:rsid w:val="00DB390D"/>
    <w:rsid w:val="00DB4C87"/>
    <w:rsid w:val="00DB77C8"/>
    <w:rsid w:val="00DC0211"/>
    <w:rsid w:val="00DC102C"/>
    <w:rsid w:val="00DC1279"/>
    <w:rsid w:val="00DC2E38"/>
    <w:rsid w:val="00DC3625"/>
    <w:rsid w:val="00DC601B"/>
    <w:rsid w:val="00DC6A6C"/>
    <w:rsid w:val="00DD198E"/>
    <w:rsid w:val="00DD1D87"/>
    <w:rsid w:val="00DD2507"/>
    <w:rsid w:val="00DD7F0E"/>
    <w:rsid w:val="00DD7F97"/>
    <w:rsid w:val="00DE345D"/>
    <w:rsid w:val="00DE5497"/>
    <w:rsid w:val="00DF0490"/>
    <w:rsid w:val="00DF17D8"/>
    <w:rsid w:val="00DF2D5A"/>
    <w:rsid w:val="00DF2E22"/>
    <w:rsid w:val="00DF3AFE"/>
    <w:rsid w:val="00DF623A"/>
    <w:rsid w:val="00DF6390"/>
    <w:rsid w:val="00DF6DF9"/>
    <w:rsid w:val="00E00654"/>
    <w:rsid w:val="00E00A6B"/>
    <w:rsid w:val="00E01959"/>
    <w:rsid w:val="00E0220D"/>
    <w:rsid w:val="00E0525F"/>
    <w:rsid w:val="00E07E92"/>
    <w:rsid w:val="00E10913"/>
    <w:rsid w:val="00E11CCC"/>
    <w:rsid w:val="00E1645A"/>
    <w:rsid w:val="00E17334"/>
    <w:rsid w:val="00E20817"/>
    <w:rsid w:val="00E2151F"/>
    <w:rsid w:val="00E21584"/>
    <w:rsid w:val="00E21FA5"/>
    <w:rsid w:val="00E222D2"/>
    <w:rsid w:val="00E22C3D"/>
    <w:rsid w:val="00E24219"/>
    <w:rsid w:val="00E24D83"/>
    <w:rsid w:val="00E25021"/>
    <w:rsid w:val="00E268EF"/>
    <w:rsid w:val="00E279F0"/>
    <w:rsid w:val="00E27B8A"/>
    <w:rsid w:val="00E329D1"/>
    <w:rsid w:val="00E32E6D"/>
    <w:rsid w:val="00E358CD"/>
    <w:rsid w:val="00E4018E"/>
    <w:rsid w:val="00E409D1"/>
    <w:rsid w:val="00E40FDE"/>
    <w:rsid w:val="00E4136E"/>
    <w:rsid w:val="00E41C94"/>
    <w:rsid w:val="00E43F7C"/>
    <w:rsid w:val="00E4442C"/>
    <w:rsid w:val="00E456FC"/>
    <w:rsid w:val="00E4588A"/>
    <w:rsid w:val="00E459BF"/>
    <w:rsid w:val="00E45C67"/>
    <w:rsid w:val="00E4718F"/>
    <w:rsid w:val="00E4720B"/>
    <w:rsid w:val="00E47564"/>
    <w:rsid w:val="00E521EF"/>
    <w:rsid w:val="00E52480"/>
    <w:rsid w:val="00E52F49"/>
    <w:rsid w:val="00E52F59"/>
    <w:rsid w:val="00E53724"/>
    <w:rsid w:val="00E54D58"/>
    <w:rsid w:val="00E550D7"/>
    <w:rsid w:val="00E5590D"/>
    <w:rsid w:val="00E55F82"/>
    <w:rsid w:val="00E5732D"/>
    <w:rsid w:val="00E578A1"/>
    <w:rsid w:val="00E57F66"/>
    <w:rsid w:val="00E57FD7"/>
    <w:rsid w:val="00E60739"/>
    <w:rsid w:val="00E60E77"/>
    <w:rsid w:val="00E61376"/>
    <w:rsid w:val="00E677BA"/>
    <w:rsid w:val="00E71FA5"/>
    <w:rsid w:val="00E721AA"/>
    <w:rsid w:val="00E72942"/>
    <w:rsid w:val="00E81116"/>
    <w:rsid w:val="00E82BBE"/>
    <w:rsid w:val="00E83162"/>
    <w:rsid w:val="00E83305"/>
    <w:rsid w:val="00E836EC"/>
    <w:rsid w:val="00E84700"/>
    <w:rsid w:val="00E87229"/>
    <w:rsid w:val="00E87C65"/>
    <w:rsid w:val="00E90581"/>
    <w:rsid w:val="00E90627"/>
    <w:rsid w:val="00E90B11"/>
    <w:rsid w:val="00E90BE9"/>
    <w:rsid w:val="00E95A72"/>
    <w:rsid w:val="00E97482"/>
    <w:rsid w:val="00EA25B5"/>
    <w:rsid w:val="00EA2F1A"/>
    <w:rsid w:val="00EA2FC9"/>
    <w:rsid w:val="00EA34E2"/>
    <w:rsid w:val="00EA3C46"/>
    <w:rsid w:val="00EA3F0C"/>
    <w:rsid w:val="00EA425E"/>
    <w:rsid w:val="00EA5FDA"/>
    <w:rsid w:val="00EA6D57"/>
    <w:rsid w:val="00EB03A4"/>
    <w:rsid w:val="00EB15A9"/>
    <w:rsid w:val="00EB39B4"/>
    <w:rsid w:val="00EB4654"/>
    <w:rsid w:val="00EB558B"/>
    <w:rsid w:val="00EB5654"/>
    <w:rsid w:val="00EB5ED5"/>
    <w:rsid w:val="00EB72B4"/>
    <w:rsid w:val="00EC0695"/>
    <w:rsid w:val="00EC0CCF"/>
    <w:rsid w:val="00EC1AC4"/>
    <w:rsid w:val="00EC1EA8"/>
    <w:rsid w:val="00EC25D2"/>
    <w:rsid w:val="00EC335F"/>
    <w:rsid w:val="00EC4DCF"/>
    <w:rsid w:val="00EC6EE6"/>
    <w:rsid w:val="00EC7899"/>
    <w:rsid w:val="00ED4359"/>
    <w:rsid w:val="00ED74AD"/>
    <w:rsid w:val="00EE1024"/>
    <w:rsid w:val="00EE1FDC"/>
    <w:rsid w:val="00EE2881"/>
    <w:rsid w:val="00EE3214"/>
    <w:rsid w:val="00EE3BEA"/>
    <w:rsid w:val="00EE718C"/>
    <w:rsid w:val="00EE7CF3"/>
    <w:rsid w:val="00EF0286"/>
    <w:rsid w:val="00EF1813"/>
    <w:rsid w:val="00EF1AFA"/>
    <w:rsid w:val="00EF3189"/>
    <w:rsid w:val="00EF40E0"/>
    <w:rsid w:val="00EF41AF"/>
    <w:rsid w:val="00EF71C3"/>
    <w:rsid w:val="00F00CD9"/>
    <w:rsid w:val="00F0139A"/>
    <w:rsid w:val="00F02B55"/>
    <w:rsid w:val="00F03407"/>
    <w:rsid w:val="00F04653"/>
    <w:rsid w:val="00F0591B"/>
    <w:rsid w:val="00F06AD7"/>
    <w:rsid w:val="00F11718"/>
    <w:rsid w:val="00F133EF"/>
    <w:rsid w:val="00F13C45"/>
    <w:rsid w:val="00F14CCA"/>
    <w:rsid w:val="00F15B15"/>
    <w:rsid w:val="00F161EF"/>
    <w:rsid w:val="00F16D4E"/>
    <w:rsid w:val="00F2058E"/>
    <w:rsid w:val="00F2073A"/>
    <w:rsid w:val="00F234FA"/>
    <w:rsid w:val="00F2353A"/>
    <w:rsid w:val="00F23BC3"/>
    <w:rsid w:val="00F24399"/>
    <w:rsid w:val="00F25962"/>
    <w:rsid w:val="00F25E3A"/>
    <w:rsid w:val="00F27250"/>
    <w:rsid w:val="00F30114"/>
    <w:rsid w:val="00F30359"/>
    <w:rsid w:val="00F3052F"/>
    <w:rsid w:val="00F3162D"/>
    <w:rsid w:val="00F356D3"/>
    <w:rsid w:val="00F35A50"/>
    <w:rsid w:val="00F35B79"/>
    <w:rsid w:val="00F35C75"/>
    <w:rsid w:val="00F37A11"/>
    <w:rsid w:val="00F40F3E"/>
    <w:rsid w:val="00F44245"/>
    <w:rsid w:val="00F45759"/>
    <w:rsid w:val="00F45994"/>
    <w:rsid w:val="00F511C4"/>
    <w:rsid w:val="00F5176B"/>
    <w:rsid w:val="00F51FBD"/>
    <w:rsid w:val="00F5208C"/>
    <w:rsid w:val="00F5229A"/>
    <w:rsid w:val="00F5335E"/>
    <w:rsid w:val="00F552FD"/>
    <w:rsid w:val="00F564E6"/>
    <w:rsid w:val="00F57FB6"/>
    <w:rsid w:val="00F62DFF"/>
    <w:rsid w:val="00F647D9"/>
    <w:rsid w:val="00F65C13"/>
    <w:rsid w:val="00F66709"/>
    <w:rsid w:val="00F671F3"/>
    <w:rsid w:val="00F72AD8"/>
    <w:rsid w:val="00F72FDD"/>
    <w:rsid w:val="00F73BDA"/>
    <w:rsid w:val="00F7433E"/>
    <w:rsid w:val="00F76CEE"/>
    <w:rsid w:val="00F81100"/>
    <w:rsid w:val="00F816A5"/>
    <w:rsid w:val="00F83134"/>
    <w:rsid w:val="00F833DD"/>
    <w:rsid w:val="00F842DC"/>
    <w:rsid w:val="00F86488"/>
    <w:rsid w:val="00F91390"/>
    <w:rsid w:val="00F920C2"/>
    <w:rsid w:val="00F94706"/>
    <w:rsid w:val="00F95C6C"/>
    <w:rsid w:val="00F95D3B"/>
    <w:rsid w:val="00F9686D"/>
    <w:rsid w:val="00FA324D"/>
    <w:rsid w:val="00FA6166"/>
    <w:rsid w:val="00FA744F"/>
    <w:rsid w:val="00FB1662"/>
    <w:rsid w:val="00FB1B5B"/>
    <w:rsid w:val="00FB23CA"/>
    <w:rsid w:val="00FB3ADA"/>
    <w:rsid w:val="00FB4751"/>
    <w:rsid w:val="00FB65AD"/>
    <w:rsid w:val="00FC0137"/>
    <w:rsid w:val="00FC2ABF"/>
    <w:rsid w:val="00FC2E23"/>
    <w:rsid w:val="00FC3236"/>
    <w:rsid w:val="00FC3AA6"/>
    <w:rsid w:val="00FC3AEE"/>
    <w:rsid w:val="00FC3D5C"/>
    <w:rsid w:val="00FC4939"/>
    <w:rsid w:val="00FC558A"/>
    <w:rsid w:val="00FC575B"/>
    <w:rsid w:val="00FC65E4"/>
    <w:rsid w:val="00FD0C60"/>
    <w:rsid w:val="00FD13AB"/>
    <w:rsid w:val="00FD1EE7"/>
    <w:rsid w:val="00FD234B"/>
    <w:rsid w:val="00FD27FE"/>
    <w:rsid w:val="00FD5F7F"/>
    <w:rsid w:val="00FD7535"/>
    <w:rsid w:val="00FE26D8"/>
    <w:rsid w:val="00FE2A25"/>
    <w:rsid w:val="00FE2C4C"/>
    <w:rsid w:val="00FE3518"/>
    <w:rsid w:val="00FE3BEC"/>
    <w:rsid w:val="00FE494C"/>
    <w:rsid w:val="00FE5489"/>
    <w:rsid w:val="00FE5C44"/>
    <w:rsid w:val="00FF0B67"/>
    <w:rsid w:val="00FF163F"/>
    <w:rsid w:val="00FF3AD0"/>
    <w:rsid w:val="00FF4014"/>
    <w:rsid w:val="00FF471D"/>
    <w:rsid w:val="00FF4E25"/>
    <w:rsid w:val="00FF650D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56C1C"/>
  <w15:chartTrackingRefBased/>
  <w15:docId w15:val="{F8F6067A-A309-4322-BB42-61647C4F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35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7FBF"/>
    <w:rPr>
      <w:rFonts w:ascii="Times New Roman" w:eastAsia="MS Mincho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41A"/>
    <w:rPr>
      <w:rFonts w:ascii="Segoe UI" w:hAnsi="Segoe UI" w:cs="Segoe UI"/>
      <w:sz w:val="18"/>
      <w:szCs w:val="18"/>
      <w:lang w:val="fr-FR"/>
    </w:rPr>
  </w:style>
  <w:style w:type="paragraph" w:customStyle="1" w:styleId="ListParagraph1">
    <w:name w:val="List Paragraph1"/>
    <w:basedOn w:val="Normal"/>
    <w:next w:val="Paragraphedeliste"/>
    <w:uiPriority w:val="34"/>
    <w:qFormat/>
    <w:rsid w:val="003221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EC4D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4D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4DCF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4D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4DCF"/>
    <w:rPr>
      <w:b/>
      <w:bCs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87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719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87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7196"/>
    <w:rPr>
      <w:lang w:val="fr-FR"/>
    </w:rPr>
  </w:style>
  <w:style w:type="paragraph" w:styleId="Rvision">
    <w:name w:val="Revision"/>
    <w:hidden/>
    <w:uiPriority w:val="99"/>
    <w:semiHidden/>
    <w:rsid w:val="005C3C45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A08220711CC438B5B3C51E1BDFCFD" ma:contentTypeVersion="13" ma:contentTypeDescription="Create a new document." ma:contentTypeScope="" ma:versionID="a1f2331f0aa3ffe4184fa04d01acb77d">
  <xsd:schema xmlns:xsd="http://www.w3.org/2001/XMLSchema" xmlns:xs="http://www.w3.org/2001/XMLSchema" xmlns:p="http://schemas.microsoft.com/office/2006/metadata/properties" xmlns:ns3="80b5c79a-0dfe-43e7-850e-4d48e9b4024a" xmlns:ns4="65e30848-6515-49f2-a108-a23b6007e6e4" targetNamespace="http://schemas.microsoft.com/office/2006/metadata/properties" ma:root="true" ma:fieldsID="6292e60d83d8b80bbd0bd7627e290553" ns3:_="" ns4:_="">
    <xsd:import namespace="80b5c79a-0dfe-43e7-850e-4d48e9b4024a"/>
    <xsd:import namespace="65e30848-6515-49f2-a108-a23b6007e6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5c79a-0dfe-43e7-850e-4d48e9b40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30848-6515-49f2-a108-a23b6007e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DC23A-5692-4FFF-B631-05C479E00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6936B9-8582-4444-A54A-5D4018CAA3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6457BE-5C2D-44C1-906A-63936D6F6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5c79a-0dfe-43e7-850e-4d48e9b4024a"/>
    <ds:schemaRef ds:uri="65e30848-6515-49f2-a108-a23b6007e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DEACFD-0D38-45FE-8FA5-E5BEC6B1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3552</Words>
  <Characters>19541</Characters>
  <Application>Microsoft Office Word</Application>
  <DocSecurity>0</DocSecurity>
  <Lines>162</Lines>
  <Paragraphs>46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Josine Umutoni Karangwa</dc:creator>
  <cp:keywords/>
  <dc:description/>
  <cp:lastModifiedBy>Ambroise KOBENAN</cp:lastModifiedBy>
  <cp:revision>2</cp:revision>
  <cp:lastPrinted>2020-01-22T20:29:00Z</cp:lastPrinted>
  <dcterms:created xsi:type="dcterms:W3CDTF">2023-03-02T14:14:00Z</dcterms:created>
  <dcterms:modified xsi:type="dcterms:W3CDTF">2023-03-02T14:14:00Z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0x0101003FAA08220711CC438B5B3C51E1BDFCFD</vt:lpwstr>
  </property>
</Properties>
</file>